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УТВЕРЖДЕНО</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Приказом Департамента</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жилищно-коммунального хозяйства </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Ивановской области</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7</w:t>
      </w:r>
      <w:r>
        <w:rPr>
          <w:rFonts w:cs="Times New Roman" w:ascii="Times New Roman" w:hAnsi="Times New Roman"/>
          <w:sz w:val="24"/>
          <w:szCs w:val="24"/>
        </w:rPr>
        <w:t>5 от «</w:t>
      </w:r>
      <w:r>
        <w:rPr>
          <w:rFonts w:cs="Times New Roman" w:ascii="Times New Roman" w:hAnsi="Times New Roman"/>
          <w:sz w:val="24"/>
          <w:szCs w:val="24"/>
        </w:rPr>
        <w:t>20</w:t>
      </w:r>
      <w:r>
        <w:rPr>
          <w:rFonts w:cs="Times New Roman" w:ascii="Times New Roman" w:hAnsi="Times New Roman"/>
          <w:sz w:val="24"/>
          <w:szCs w:val="24"/>
        </w:rPr>
        <w:t xml:space="preserve">» </w:t>
      </w:r>
      <w:r>
        <w:rPr>
          <w:rFonts w:cs="Times New Roman" w:ascii="Times New Roman" w:hAnsi="Times New Roman"/>
          <w:sz w:val="24"/>
          <w:szCs w:val="24"/>
        </w:rPr>
        <w:t>мая</w:t>
      </w:r>
      <w:r>
        <w:rPr>
          <w:rFonts w:cs="Times New Roman" w:ascii="Times New Roman" w:hAnsi="Times New Roman"/>
          <w:sz w:val="24"/>
          <w:szCs w:val="24"/>
        </w:rPr>
        <w:t xml:space="preserve"> 2026 г.</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ДОКУМЕНТАЦИЯ О ПРОВЕДЕНИИ</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ПРЕДВАРИТЕЛЬНОГО ОТБОРА</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 </w:t>
      </w:r>
      <w:r>
        <w:rPr>
          <w:rFonts w:eastAsia="Times New Roman" w:cs="Times New Roman" w:ascii="Times New Roman" w:hAnsi="Times New Roman"/>
          <w:b/>
          <w:sz w:val="28"/>
          <w:szCs w:val="28"/>
          <w:lang w:eastAsia="ru-RU"/>
        </w:rPr>
        <w:t>ПО.а1.26.</w:t>
      </w:r>
      <w:r>
        <w:rPr>
          <w:rFonts w:eastAsia="Times New Roman" w:cs="Times New Roman" w:ascii="Times New Roman" w:hAnsi="Times New Roman"/>
          <w:b/>
          <w:sz w:val="28"/>
          <w:szCs w:val="28"/>
          <w:lang w:eastAsia="ru-RU"/>
        </w:rPr>
        <w:t>2</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28"/>
          <w:szCs w:val="28"/>
        </w:rPr>
      </w:pPr>
      <w:r>
        <w:rPr>
          <w:rFonts w:cs="Times New Roman" w:ascii="Times New Roman" w:hAnsi="Times New Roman"/>
          <w:b/>
          <w:sz w:val="28"/>
          <w:szCs w:val="28"/>
        </w:rPr>
        <w:t>Иваново, 2026</w:t>
      </w:r>
      <w:r>
        <w:br w:type="page"/>
      </w:r>
    </w:p>
    <w:p>
      <w:pPr>
        <w:pStyle w:val="Normal"/>
        <w:jc w:val="center"/>
        <w:rPr>
          <w:rFonts w:ascii="Times New Roman" w:hAnsi="Times New Roman" w:cs="Times New Roman"/>
          <w:b/>
          <w:sz w:val="28"/>
          <w:szCs w:val="28"/>
        </w:rPr>
      </w:pPr>
      <w:r>
        <w:rPr>
          <w:rFonts w:cs="Times New Roman" w:ascii="Times New Roman" w:hAnsi="Times New Roman"/>
          <w:b/>
          <w:sz w:val="28"/>
          <w:szCs w:val="28"/>
        </w:rPr>
        <w:t xml:space="preserve">СОДЕРЖАНИЕ </w:t>
      </w:r>
    </w:p>
    <w:p>
      <w:pPr>
        <w:pStyle w:val="ListParagraph"/>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Общие положения.</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val="en-US" w:eastAsia="ru-RU"/>
        </w:rPr>
        <w:t>II</w:t>
      </w: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Требования к оказанию услуг и (или) выполнению работ по капитальному ремонту общего имущества в многоквартирных домах.</w:t>
      </w:r>
    </w:p>
    <w:p>
      <w:pPr>
        <w:pStyle w:val="ListParagraph"/>
        <w:spacing w:lineRule="auto" w:line="240" w:before="0" w:after="0"/>
        <w:ind w:left="0"/>
        <w:contextualSpacing/>
        <w:jc w:val="both"/>
        <w:rPr>
          <w:rStyle w:val="Style15"/>
          <w:sz w:val="28"/>
          <w:szCs w:val="28"/>
        </w:rPr>
      </w:pPr>
      <w:r>
        <w:rPr>
          <w:rStyle w:val="Style15"/>
          <w:rFonts w:ascii="Times New Roman" w:hAnsi="Times New Roman"/>
          <w:sz w:val="28"/>
          <w:szCs w:val="28"/>
          <w:lang w:val="en-US"/>
        </w:rPr>
        <w:t>III</w:t>
      </w:r>
      <w:r>
        <w:rPr>
          <w:rStyle w:val="Style15"/>
          <w:rFonts w:ascii="Times New Roman" w:hAnsi="Times New Roman"/>
          <w:sz w:val="28"/>
          <w:szCs w:val="28"/>
        </w:rPr>
        <w:t>. Сведения о существенных условиях договора об оказании услуг и (или) выполнении работ.</w:t>
      </w:r>
    </w:p>
    <w:p>
      <w:pPr>
        <w:pStyle w:val="ListParagraph"/>
        <w:spacing w:lineRule="auto" w:line="240" w:before="0" w:after="0"/>
        <w:ind w:left="0"/>
        <w:contextualSpacing/>
        <w:jc w:val="both"/>
        <w:rPr/>
      </w:pPr>
      <w:r>
        <w:rPr>
          <w:rFonts w:cs="Times New Roman" w:ascii="Times New Roman" w:hAnsi="Times New Roman"/>
          <w:sz w:val="28"/>
          <w:szCs w:val="28"/>
          <w:lang w:val="en-US"/>
        </w:rPr>
        <w:t>IV</w:t>
      </w:r>
      <w:r>
        <w:rPr>
          <w:rFonts w:cs="Times New Roman" w:ascii="Times New Roman" w:hAnsi="Times New Roman"/>
          <w:sz w:val="28"/>
          <w:szCs w:val="28"/>
        </w:rPr>
        <w:t>. 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w:t>
      </w:r>
      <w:r>
        <w:rPr>
          <w:rFonts w:cs="Times New Roman" w:ascii="Times New Roman" w:hAnsi="Times New Roman"/>
          <w:sz w:val="28"/>
          <w:szCs w:val="28"/>
        </w:rPr>
        <w:t>.  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w:t>
      </w:r>
      <w:r>
        <w:rPr>
          <w:rFonts w:cs="Times New Roman" w:ascii="Times New Roman" w:hAnsi="Times New Roman"/>
          <w:sz w:val="28"/>
          <w:szCs w:val="28"/>
        </w:rPr>
        <w:t>. 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w:t>
      </w:r>
      <w:r>
        <w:rPr>
          <w:rFonts w:cs="Times New Roman" w:ascii="Times New Roman" w:hAnsi="Times New Roman"/>
          <w:sz w:val="28"/>
          <w:szCs w:val="28"/>
        </w:rPr>
        <w:t>. 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VIII</w:t>
      </w:r>
      <w:r>
        <w:rPr>
          <w:rFonts w:cs="Times New Roman" w:ascii="Times New Roman" w:hAnsi="Times New Roman"/>
          <w:sz w:val="28"/>
          <w:szCs w:val="28"/>
        </w:rPr>
        <w:t>. Порядок и срок отзыва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IX</w:t>
      </w:r>
      <w:r>
        <w:rPr>
          <w:rFonts w:cs="Times New Roman" w:ascii="Times New Roman" w:hAnsi="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t>Х. Порядок рассмотрения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штатно-списочного состава сотрудников (Приложение № 2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t>Примечание:</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t>1. Документация  разработана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Normal"/>
        <w:tabs>
          <w:tab w:val="clear" w:pos="708"/>
          <w:tab w:val="left" w:pos="3060" w:leader="none"/>
        </w:tabs>
        <w:spacing w:lineRule="auto" w:line="240" w:before="0" w:after="0"/>
        <w:ind w:right="2"/>
        <w:jc w:val="both"/>
        <w:rPr>
          <w:rFonts w:ascii="Times New Roman" w:hAnsi="Times New Roman"/>
          <w:bCs/>
          <w:sz w:val="28"/>
          <w:szCs w:val="28"/>
        </w:rPr>
      </w:pPr>
      <w:r>
        <w:rPr>
          <w:rFonts w:ascii="Times New Roman" w:hAnsi="Times New Roman"/>
          <w:b/>
          <w:bCs/>
          <w:sz w:val="28"/>
          <w:szCs w:val="28"/>
        </w:rPr>
        <w:t xml:space="preserve">1. Орган по ведению реестра квалифицированных подрядных организаций (далее – Орган по ведению РКПО) – </w:t>
        <w:br/>
      </w:r>
      <w:r>
        <w:rPr>
          <w:rFonts w:ascii="Times New Roman" w:hAnsi="Times New Roman"/>
          <w:bCs/>
          <w:i/>
          <w:sz w:val="24"/>
          <w:szCs w:val="24"/>
          <w:u w:val="single"/>
        </w:rPr>
        <w:t>Департамент жилищно-коммунального хозяйства Ивановской области</w:t>
      </w:r>
    </w:p>
    <w:p>
      <w:pPr>
        <w:pStyle w:val="Normal"/>
        <w:tabs>
          <w:tab w:val="clear" w:pos="708"/>
          <w:tab w:val="left" w:pos="3060" w:leader="none"/>
        </w:tabs>
        <w:spacing w:lineRule="auto" w:line="240" w:before="0" w:after="0"/>
        <w:ind w:right="2"/>
        <w:jc w:val="both"/>
        <w:rPr>
          <w:rFonts w:ascii="Times New Roman" w:hAnsi="Times New Roman"/>
          <w:b/>
          <w:bCs/>
          <w:sz w:val="24"/>
        </w:rPr>
      </w:pPr>
      <w:r>
        <w:rPr>
          <w:rFonts w:ascii="Times New Roman" w:hAnsi="Times New Roman"/>
          <w:b/>
          <w:bCs/>
          <w:sz w:val="28"/>
          <w:szCs w:val="28"/>
        </w:rPr>
        <w:t>2. Номер предварительного отбора: № ПО.а1.26.1</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Pr>
          <w:rFonts w:eastAsia="Calibri" w:cs="Times New Roman" w:ascii="Times New Roman" w:hAnsi="Times New Roman"/>
          <w:sz w:val="24"/>
          <w:szCs w:val="24"/>
        </w:rPr>
        <w:t>Оказание услуг и (или) выполнение работ по капитальному ремонту общего имущества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p>
    <w:p>
      <w:pPr>
        <w:pStyle w:val="Normal"/>
        <w:tabs>
          <w:tab w:val="clear" w:pos="708"/>
          <w:tab w:val="left" w:pos="3060" w:leader="none"/>
        </w:tabs>
        <w:spacing w:lineRule="auto" w:line="240" w:before="0" w:after="0"/>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РКПО</w:t>
      </w:r>
      <w:r>
        <w:rPr>
          <w:rFonts w:ascii="Times New Roman" w:hAnsi="Times New Roman"/>
          <w:bCs/>
          <w:sz w:val="28"/>
          <w:szCs w:val="28"/>
        </w:rPr>
        <w:t>:</w:t>
      </w:r>
    </w:p>
    <w:p>
      <w:pPr>
        <w:pStyle w:val="Normal"/>
        <w:tabs>
          <w:tab w:val="clear" w:pos="708"/>
          <w:tab w:val="left" w:pos="3060" w:leader="none"/>
        </w:tabs>
        <w:spacing w:lineRule="auto" w:line="240" w:before="0" w:after="0"/>
        <w:rPr>
          <w:rFonts w:ascii="Times New Roman" w:hAnsi="Times New Roman" w:cs="Times New Roman"/>
          <w:bCs/>
          <w:sz w:val="24"/>
          <w:szCs w:val="24"/>
        </w:rPr>
      </w:pPr>
      <w:r>
        <w:rPr>
          <w:rFonts w:cs="Times New Roman" w:ascii="Times New Roman" w:hAnsi="Times New Roman"/>
          <w:b/>
          <w:bCs/>
          <w:sz w:val="28"/>
          <w:szCs w:val="28"/>
        </w:rPr>
        <w:t xml:space="preserve">Место нахождения: </w:t>
      </w:r>
      <w:r>
        <w:rPr>
          <w:rFonts w:cs="Times New Roman" w:ascii="Times New Roman" w:hAnsi="Times New Roman"/>
          <w:bCs/>
          <w:sz w:val="24"/>
          <w:szCs w:val="24"/>
          <w:u w:val="single"/>
        </w:rPr>
        <w:t>153000, г. Иваново, ул. Батурина, д. 8</w:t>
      </w:r>
    </w:p>
    <w:p>
      <w:pPr>
        <w:pStyle w:val="Normal"/>
        <w:tabs>
          <w:tab w:val="clear" w:pos="708"/>
          <w:tab w:val="left" w:pos="3060" w:leader="none"/>
        </w:tabs>
        <w:spacing w:lineRule="auto" w:line="240" w:before="0" w:after="0"/>
        <w:rPr>
          <w:rFonts w:ascii="Times New Roman" w:hAnsi="Times New Roman" w:cs="Times New Roman"/>
          <w:b/>
          <w:bCs/>
          <w:sz w:val="28"/>
          <w:szCs w:val="28"/>
          <w:u w:val="single"/>
        </w:rPr>
      </w:pPr>
      <w:r>
        <w:rPr>
          <w:rFonts w:cs="Times New Roman" w:ascii="Times New Roman" w:hAnsi="Times New Roman"/>
          <w:b/>
          <w:bCs/>
          <w:sz w:val="28"/>
          <w:szCs w:val="28"/>
        </w:rPr>
        <w:t xml:space="preserve">Почтовый адрес: </w:t>
      </w:r>
      <w:r>
        <w:rPr>
          <w:rFonts w:cs="Times New Roman" w:ascii="Times New Roman" w:hAnsi="Times New Roman"/>
          <w:bCs/>
          <w:sz w:val="24"/>
          <w:szCs w:val="24"/>
          <w:u w:val="single"/>
        </w:rPr>
        <w:t>153000, г. Иваново, пл. Революции, д. 2/1, каб. 434</w:t>
      </w:r>
    </w:p>
    <w:p>
      <w:pPr>
        <w:pStyle w:val="Normal"/>
        <w:tabs>
          <w:tab w:val="clear" w:pos="708"/>
          <w:tab w:val="left" w:pos="3060" w:leader="none"/>
        </w:tabs>
        <w:spacing w:lineRule="auto" w:line="240" w:before="0" w:after="0"/>
        <w:rPr>
          <w:rFonts w:ascii="Times New Roman" w:hAnsi="Times New Roman" w:eastAsia="Times New Roman" w:cs="Times New Roman"/>
          <w:b/>
          <w:sz w:val="28"/>
          <w:szCs w:val="28"/>
          <w:lang w:eastAsia="ru-RU"/>
        </w:rPr>
      </w:pPr>
      <w:r>
        <w:rPr>
          <w:rFonts w:cs="Times New Roman" w:ascii="Times New Roman" w:hAnsi="Times New Roman"/>
          <w:b/>
          <w:bCs/>
          <w:sz w:val="28"/>
          <w:szCs w:val="28"/>
          <w:lang w:val="en-US"/>
        </w:rPr>
        <w:t>e</w:t>
      </w:r>
      <w:r>
        <w:rPr>
          <w:rFonts w:cs="Times New Roman" w:ascii="Times New Roman" w:hAnsi="Times New Roman"/>
          <w:b/>
          <w:bCs/>
          <w:sz w:val="28"/>
          <w:szCs w:val="28"/>
        </w:rPr>
        <w:t>-</w:t>
      </w:r>
      <w:r>
        <w:rPr>
          <w:rFonts w:cs="Times New Roman" w:ascii="Times New Roman" w:hAnsi="Times New Roman"/>
          <w:b/>
          <w:bCs/>
          <w:sz w:val="28"/>
          <w:szCs w:val="28"/>
          <w:lang w:val="en-US"/>
        </w:rPr>
        <w:t>mail</w:t>
      </w:r>
      <w:r>
        <w:rPr>
          <w:rFonts w:cs="Times New Roman" w:ascii="Times New Roman" w:hAnsi="Times New Roman"/>
          <w:b/>
          <w:bCs/>
          <w:sz w:val="28"/>
          <w:szCs w:val="28"/>
        </w:rPr>
        <w:t>:</w:t>
      </w:r>
      <w:r>
        <w:rPr>
          <w:rFonts w:cs="Times New Roman" w:ascii="Times New Roman" w:hAnsi="Times New Roman"/>
          <w:bCs/>
          <w:sz w:val="28"/>
          <w:szCs w:val="28"/>
        </w:rPr>
        <w:t xml:space="preserve"> </w:t>
      </w:r>
      <w:r>
        <w:rPr>
          <w:rFonts w:cs="Times New Roman" w:ascii="Times New Roman" w:hAnsi="Times New Roman"/>
          <w:bCs/>
          <w:sz w:val="24"/>
          <w:u w:val="single"/>
          <w:lang w:val="en-US"/>
        </w:rPr>
        <w:t>dgkh</w:t>
      </w:r>
      <w:r>
        <w:rPr>
          <w:rFonts w:cs="Times New Roman" w:ascii="Times New Roman" w:hAnsi="Times New Roman"/>
          <w:bCs/>
          <w:sz w:val="24"/>
          <w:u w:val="single"/>
        </w:rPr>
        <w:t>@</w:t>
      </w:r>
      <w:r>
        <w:rPr>
          <w:rFonts w:cs="Times New Roman" w:ascii="Times New Roman" w:hAnsi="Times New Roman"/>
          <w:bCs/>
          <w:sz w:val="24"/>
          <w:u w:val="single"/>
          <w:lang w:val="en-US"/>
        </w:rPr>
        <w:t>ivreg</w:t>
      </w:r>
      <w:r>
        <w:rPr>
          <w:rFonts w:cs="Times New Roman" w:ascii="Times New Roman" w:hAnsi="Times New Roman"/>
          <w:bCs/>
          <w:sz w:val="24"/>
          <w:u w:val="single"/>
        </w:rPr>
        <w:t>.</w:t>
      </w:r>
      <w:r>
        <w:rPr>
          <w:rFonts w:cs="Times New Roman" w:ascii="Times New Roman" w:hAnsi="Times New Roman"/>
          <w:bCs/>
          <w:sz w:val="24"/>
          <w:u w:val="single"/>
          <w:lang w:val="en-US"/>
        </w:rPr>
        <w:t>ru</w:t>
      </w:r>
    </w:p>
    <w:p>
      <w:pPr>
        <w:pStyle w:val="Normal"/>
        <w:tabs>
          <w:tab w:val="clear" w:pos="708"/>
          <w:tab w:val="left" w:pos="30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sz w:val="28"/>
          <w:szCs w:val="28"/>
          <w:lang w:eastAsia="ru-RU"/>
        </w:rPr>
        <w:t xml:space="preserve">телефон: </w:t>
      </w:r>
      <w:r>
        <w:rPr>
          <w:rFonts w:ascii="Times New Roman" w:hAnsi="Times New Roman"/>
          <w:sz w:val="24"/>
          <w:szCs w:val="24"/>
          <w:u w:val="single"/>
        </w:rPr>
        <w:t>(4932) 47-14-37, 41-43-46</w:t>
      </w:r>
    </w:p>
    <w:p>
      <w:pPr>
        <w:pStyle w:val="Normal"/>
        <w:tabs>
          <w:tab w:val="clear" w:pos="708"/>
          <w:tab w:val="left" w:pos="3060" w:leader="none"/>
        </w:tabs>
        <w:spacing w:lineRule="auto" w:line="240" w:before="0" w:after="0"/>
        <w:rPr>
          <w:rFonts w:ascii="Times New Roman" w:hAnsi="Times New Roman" w:cs="Times New Roman"/>
          <w:b/>
          <w:bCs/>
          <w:sz w:val="28"/>
          <w:szCs w:val="28"/>
        </w:rPr>
      </w:pPr>
      <w:r>
        <w:rPr>
          <w:rFonts w:cs="Times New Roman" w:ascii="Times New Roman" w:hAnsi="Times New Roman"/>
          <w:b/>
          <w:bCs/>
          <w:sz w:val="28"/>
          <w:szCs w:val="28"/>
        </w:rPr>
        <w:t xml:space="preserve">официальный сайт, на котором размещена документация о проведении предварительного отбора: </w:t>
      </w:r>
      <w:r>
        <w:rPr>
          <w:rFonts w:cs="Times New Roman" w:ascii="Times New Roman" w:hAnsi="Times New Roman"/>
          <w:bCs/>
          <w:sz w:val="24"/>
          <w:szCs w:val="24"/>
          <w:u w:val="single"/>
        </w:rPr>
        <w:t>http://gkh.ivanovoobl.ru/</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pPr>
        <w:pStyle w:val="ListParagraph"/>
        <w:tabs>
          <w:tab w:val="clear" w:pos="708"/>
          <w:tab w:val="left" w:pos="3060" w:leader="none"/>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Pr>
          <w:rFonts w:ascii="Times New Roman" w:hAnsi="Times New Roman"/>
          <w:bCs/>
          <w:sz w:val="24"/>
          <w:u w:val="single"/>
        </w:rPr>
        <w:t>Закрытое акционерное общество «Сбербанк – Автоматизированная Система Торгов» (ЗАО «Сбербанк-АСТ»)</w:t>
      </w:r>
    </w:p>
    <w:p>
      <w:pPr>
        <w:pStyle w:val="ListParagraph"/>
        <w:tabs>
          <w:tab w:val="clear" w:pos="708"/>
          <w:tab w:val="left" w:pos="3060" w:leader="none"/>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Pr>
          <w:rFonts w:ascii="Times New Roman" w:hAnsi="Times New Roman"/>
          <w:bCs/>
          <w:sz w:val="24"/>
          <w:u w:val="single"/>
        </w:rPr>
        <w:t>http://www.sberbank-ast.ru/</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w:t>
      </w:r>
      <w:r>
        <w:rPr>
          <w:rFonts w:ascii="Times New Roman" w:hAnsi="Times New Roman"/>
          <w:b/>
          <w:bCs/>
          <w:sz w:val="28"/>
          <w:szCs w:val="28"/>
        </w:rPr>
        <w:t>т</w:t>
      </w:r>
      <w:r>
        <w:rPr>
          <w:rFonts w:ascii="Times New Roman" w:hAnsi="Times New Roman"/>
          <w:b/>
          <w:bCs/>
          <w:sz w:val="28"/>
          <w:szCs w:val="28"/>
        </w:rPr>
        <w:t>боре (далее – Заявка):</w:t>
      </w:r>
      <w:r>
        <w:rPr>
          <w:rFonts w:ascii="Times New Roman" w:hAnsi="Times New Roman"/>
          <w:b/>
          <w:bCs/>
          <w:sz w:val="24"/>
        </w:rPr>
        <w:t xml:space="preserve"> </w:t>
      </w:r>
      <w:r>
        <w:rPr>
          <w:rFonts w:ascii="Times New Roman" w:hAnsi="Times New Roman"/>
          <w:bCs/>
          <w:sz w:val="24"/>
        </w:rPr>
        <w:t>«</w:t>
      </w:r>
      <w:r>
        <w:rPr>
          <w:rFonts w:ascii="Times New Roman" w:hAnsi="Times New Roman"/>
          <w:bCs/>
          <w:sz w:val="24"/>
        </w:rPr>
        <w:t>22</w:t>
      </w:r>
      <w:r>
        <w:rPr>
          <w:rFonts w:ascii="Times New Roman" w:hAnsi="Times New Roman"/>
          <w:bCs/>
          <w:sz w:val="24"/>
        </w:rPr>
        <w:t xml:space="preserve">» </w:t>
      </w:r>
      <w:r>
        <w:rPr>
          <w:rFonts w:ascii="Times New Roman" w:hAnsi="Times New Roman"/>
          <w:bCs/>
          <w:sz w:val="24"/>
        </w:rPr>
        <w:t>мая</w:t>
      </w:r>
      <w:r>
        <w:rPr>
          <w:rFonts w:ascii="Times New Roman" w:hAnsi="Times New Roman"/>
          <w:bCs/>
          <w:sz w:val="24"/>
        </w:rPr>
        <w:t xml:space="preserve"> 2026 года </w:t>
        <w:br/>
        <w:t>00 часов 00 минут.</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Pr>
          <w:rFonts w:ascii="Times New Roman" w:hAnsi="Times New Roman"/>
          <w:bCs/>
          <w:sz w:val="24"/>
        </w:rPr>
        <w:t>«</w:t>
      </w:r>
      <w:r>
        <w:rPr>
          <w:rFonts w:ascii="Times New Roman" w:hAnsi="Times New Roman"/>
          <w:bCs/>
          <w:sz w:val="24"/>
        </w:rPr>
        <w:t>15</w:t>
      </w:r>
      <w:r>
        <w:rPr>
          <w:rFonts w:ascii="Times New Roman" w:hAnsi="Times New Roman"/>
          <w:bCs/>
          <w:sz w:val="24"/>
        </w:rPr>
        <w:t xml:space="preserve">» </w:t>
      </w:r>
      <w:r>
        <w:rPr>
          <w:rFonts w:ascii="Times New Roman" w:hAnsi="Times New Roman"/>
          <w:bCs/>
          <w:sz w:val="24"/>
        </w:rPr>
        <w:t>июня</w:t>
      </w:r>
      <w:r>
        <w:rPr>
          <w:rFonts w:ascii="Times New Roman" w:hAnsi="Times New Roman"/>
          <w:bCs/>
          <w:sz w:val="24"/>
        </w:rPr>
        <w:t xml:space="preserve"> 2026 года </w:t>
        <w:br/>
        <w:t>10 часов 00 минут</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Pr>
          <w:rFonts w:ascii="Times New Roman" w:hAnsi="Times New Roman"/>
          <w:bCs/>
          <w:sz w:val="24"/>
        </w:rPr>
        <w:t>«</w:t>
      </w:r>
      <w:r>
        <w:rPr>
          <w:rFonts w:ascii="Times New Roman" w:hAnsi="Times New Roman"/>
          <w:bCs/>
          <w:sz w:val="24"/>
        </w:rPr>
        <w:t>26</w:t>
      </w:r>
      <w:r>
        <w:rPr>
          <w:rFonts w:ascii="Times New Roman" w:hAnsi="Times New Roman"/>
          <w:bCs/>
          <w:sz w:val="24"/>
        </w:rPr>
        <w:t xml:space="preserve">» </w:t>
      </w:r>
      <w:r>
        <w:rPr>
          <w:rFonts w:ascii="Times New Roman" w:hAnsi="Times New Roman"/>
          <w:bCs/>
          <w:sz w:val="24"/>
        </w:rPr>
        <w:t>июня</w:t>
      </w:r>
      <w:r>
        <w:rPr>
          <w:rFonts w:ascii="Times New Roman" w:hAnsi="Times New Roman"/>
          <w:bCs/>
          <w:sz w:val="24"/>
        </w:rPr>
        <w:t xml:space="preserve"> 2026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Pr>
          <w:rFonts w:ascii="Times New Roman" w:hAnsi="Times New Roman"/>
          <w:bCs/>
          <w:sz w:val="24"/>
        </w:rPr>
        <w:t xml:space="preserve"> 3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7"/>
        </w:numPr>
        <w:tabs>
          <w:tab w:val="clear" w:pos="708"/>
          <w:tab w:val="left" w:pos="284" w:leader="none"/>
        </w:tabs>
        <w:spacing w:lineRule="auto" w:line="240" w:before="0" w:after="0"/>
        <w:contextualSpacing w:val="false"/>
        <w:jc w:val="center"/>
        <w:rPr>
          <w:rFonts w:ascii="Times New Roman" w:hAnsi="Times New Roman" w:cs="Times New Roman"/>
          <w:b/>
          <w:sz w:val="28"/>
          <w:szCs w:val="28"/>
        </w:rPr>
      </w:pPr>
      <w:r>
        <w:rPr>
          <w:rFonts w:cs="Times New Roman" w:ascii="Times New Roman" w:hAnsi="Times New Roman"/>
          <w:b/>
          <w:sz w:val="28"/>
          <w:szCs w:val="28"/>
        </w:rPr>
        <w:t>Требования к оказанию услуг и (или) выполнению работ по капитальному ремонту общего имущества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p>
    <w:p>
      <w:pPr>
        <w:pStyle w:val="ListParagraph"/>
        <w:tabs>
          <w:tab w:val="clear" w:pos="708"/>
          <w:tab w:val="left" w:pos="284" w:leader="none"/>
        </w:tabs>
        <w:spacing w:lineRule="auto" w:line="240" w:before="0" w:after="0"/>
        <w:ind w:left="0"/>
        <w:contextualSpacing w:val="false"/>
        <w:jc w:val="center"/>
        <w:rPr>
          <w:rFonts w:ascii="Times New Roman" w:hAnsi="Times New Roman" w:cs="Times New Roman"/>
          <w:sz w:val="28"/>
          <w:szCs w:val="28"/>
        </w:rPr>
      </w:pPr>
      <w:r>
        <w:rPr>
          <w:rFonts w:cs="Times New Roman" w:ascii="Times New Roman" w:hAnsi="Times New Roman"/>
          <w:sz w:val="28"/>
          <w:szCs w:val="28"/>
        </w:rPr>
      </w:r>
    </w:p>
    <w:tbl>
      <w:tblPr>
        <w:tblW w:w="9924"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709"/>
        <w:gridCol w:w="3071"/>
        <w:gridCol w:w="6144"/>
      </w:tblGrid>
      <w:tr>
        <w:trPr>
          <w:tblHeader w:val="true"/>
          <w:trHeight w:val="458" w:hRule="atLeast"/>
        </w:trPr>
        <w:tc>
          <w:tcPr>
            <w:tcW w:w="709"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3071"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Требования</w:t>
            </w:r>
          </w:p>
        </w:tc>
        <w:tc>
          <w:tcPr>
            <w:tcW w:w="6144"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Описание</w:t>
            </w:r>
          </w:p>
        </w:tc>
      </w:tr>
      <w:tr>
        <w:trPr>
          <w:tblHeader w:val="true"/>
          <w:trHeight w:val="458" w:hRule="atLeast"/>
        </w:trPr>
        <w:tc>
          <w:tcPr>
            <w:tcW w:w="709"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3071"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6144"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r>
      <w:tr>
        <w:trPr>
          <w:tblHeader w:val="true"/>
          <w:trHeight w:val="164" w:hRule="atLeast"/>
        </w:trPr>
        <w:tc>
          <w:tcPr>
            <w:tcW w:w="709"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1"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614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r>
      <w:tr>
        <w:trPr>
          <w:trHeight w:val="196" w:hRule="atLeast"/>
        </w:trPr>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Требования к оказанию услуг и (или) выполнению работ по капитальному ремонту общего имущества в многоквартирных домах по предмету предварительного отбора подрядных организаций «Оказание услуг и (или) выполнение работ по капитальному ремонту общего имущества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p>
        </w:tc>
        <w:tc>
          <w:tcPr>
            <w:tcW w:w="61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выполняемых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Исполнитель должен обеспечить выполнение работ в соответствии с требованиями нормативных документов РФ:</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Строительными нормами и правилами (СНиП);</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Техническими регламентами;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Сводами правил (СП);</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по охране труда при эксплуатации электроустановок (ПОТЭУ);</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устройства электроустановок (ПУЭ);</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технической эксплуатации электроустановок потребителей (ПТЭЭ), и др.</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Общие требования по выполнению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Предоставлять Заказчику еженедельный письменный отчет о ходе выполнения работ в электронном или бумажном виде.</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Производить фотофиксацию Объекта в целом до начала, еженедельно в процессе производства работ и после завершения Работ, а также фотофиксацию всех этапов скрытых работ с приложением материалов фотофиксации к еженедельным отчетам.</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Утилизацию строительного мусора производить за счет Подрядчика.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4) Обеспечить выполнение требований безопасности пребывания людей, так как работы по капитальному ремонту будут осуществляться в условиях эксплуатируемого многоквартирного дома.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5) До начала работ Подрядчик обязан выполнить подготовительные работы и в дальнейшем в процессе работ принимать меры по защите помещений собственников от протечек и прочих повреждений, связанных с производством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6) Обеспечить обязательное выполнение требований законодательства Российской Федерации о безопасном ведении работ, охране окружающей среды, охране труда, пожарной безопасности и других строительных норм и правил.</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используемых в ходе работ материалов и оборудования.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При производстве работ Подрядчик должен использовать материалы, имеющие сертификаты качества (паспорта на материалы и оборудование). </w:t>
            </w:r>
            <w:r>
              <w:rPr>
                <w:rFonts w:eastAsia="Calibri" w:cs="Times New Roman" w:ascii="Times New Roman" w:hAnsi="Times New Roman"/>
                <w:sz w:val="24"/>
                <w:szCs w:val="24"/>
              </w:rPr>
              <w:t>Качество, технические, функциональные характеристики (потребительские свойства), эксплуатационные характеристики и иные показатели материалов и оборудования, используемых при выполнении работ, должны соответствовать Гражданскому кодексу Российской Федерации, Федеральному закону от 22 июля 2008 года № 123-ФЗ «Технический регламент о требованиях пожарной безопасности», Федеральному закону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 иным положениям действующего законодательства Российской Федерации, ГОСТам, ОСТам, ТУ другими документами, удостоверяющими их качество</w:t>
            </w:r>
            <w:r>
              <w:rPr>
                <w:rFonts w:eastAsia="Times New Roman" w:cs="Times New Roman" w:ascii="Times New Roman" w:hAnsi="Times New Roman"/>
                <w:sz w:val="24"/>
                <w:szCs w:val="24"/>
                <w:lang w:eastAsia="ru-RU"/>
              </w:rPr>
              <w:t>.</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Технические характеристики материалов и оборудования.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Количественные и технические характеристики используемых материалов и оборудования – в соответствии со сметной (проектной – при наличии) документацией.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В случае указания на товарные знаки применяемых материалов следует читать «или эквивалент».</w:t>
            </w:r>
          </w:p>
        </w:tc>
      </w:tr>
    </w:tbl>
    <w:p>
      <w:pPr>
        <w:pStyle w:val="Normal"/>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7"/>
        </w:numPr>
        <w:spacing w:lineRule="auto" w:line="240" w:before="0" w:after="0"/>
        <w:contextualSpacing w:val="false"/>
        <w:jc w:val="center"/>
        <w:rPr>
          <w:rFonts w:ascii="Times New Roman" w:hAnsi="Times New Roman" w:cs="Times New Roman"/>
          <w:b/>
          <w:sz w:val="28"/>
          <w:szCs w:val="28"/>
        </w:rPr>
      </w:pPr>
      <w:r>
        <w:rPr>
          <w:rStyle w:val="Style15"/>
          <w:rFonts w:cs="Times New Roman" w:ascii="Times New Roman" w:hAnsi="Times New Roman"/>
          <w:b/>
          <w:sz w:val="28"/>
          <w:szCs w:val="28"/>
        </w:rPr>
        <w:t>Сведения о существенных условиях договора строительного подряда, предусмотренного частью 7 статьи 166 Жилищного кодекса Российской Федерации</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Style w:val="ab"/>
        <w:tblW w:w="10348"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567"/>
        <w:gridCol w:w="2410"/>
        <w:gridCol w:w="7371"/>
      </w:tblGrid>
      <w:tr>
        <w:trPr>
          <w:tblHeader w:val="true"/>
        </w:trPr>
        <w:tc>
          <w:tcPr>
            <w:tcW w:w="567"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 xml:space="preserve">№ </w:t>
            </w:r>
            <w:r>
              <w:rPr>
                <w:rStyle w:val="Style15"/>
                <w:rFonts w:eastAsia="Calibri" w:cs="Times New Roman" w:ascii="Times New Roman" w:hAnsi="Times New Roman"/>
                <w:b/>
                <w:kern w:val="0"/>
                <w:sz w:val="24"/>
                <w:szCs w:val="24"/>
                <w:lang w:val="ru-RU" w:eastAsia="en-US" w:bidi="ar-SA"/>
              </w:rPr>
              <w:t>п/п</w:t>
            </w:r>
          </w:p>
        </w:tc>
        <w:tc>
          <w:tcPr>
            <w:tcW w:w="2410"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Условие</w:t>
            </w:r>
          </w:p>
        </w:tc>
        <w:tc>
          <w:tcPr>
            <w:tcW w:w="7371"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Описание условия</w:t>
            </w:r>
          </w:p>
        </w:tc>
      </w:tr>
      <w:tr>
        <w:trPr>
          <w:tblHeader w:val="true"/>
        </w:trPr>
        <w:tc>
          <w:tcPr>
            <w:tcW w:w="567"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r>
          </w:p>
        </w:tc>
        <w:tc>
          <w:tcPr>
            <w:tcW w:w="2410"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7371"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Заказчик</w:t>
            </w:r>
          </w:p>
        </w:tc>
        <w:tc>
          <w:tcPr>
            <w:tcW w:w="7371" w:type="dxa"/>
            <w:tcBorders/>
          </w:tcPr>
          <w:p>
            <w:pPr>
              <w:pStyle w:val="Normal"/>
              <w:widowControl/>
              <w:shd w:val="clear" w:color="auto" w:fill="FFFFFF" w:themeFill="background1"/>
              <w:spacing w:lineRule="auto" w:line="240" w:before="0" w:after="0"/>
              <w:jc w:val="left"/>
              <w:rPr>
                <w:rStyle w:val="Style15"/>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Некоммерческая организация «Региональный фонд капитального ремонта многоквартирных домов Ивановской области».</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Предмет договора</w:t>
            </w:r>
          </w:p>
        </w:tc>
        <w:tc>
          <w:tcPr>
            <w:tcW w:w="7371" w:type="dxa"/>
            <w:tcBorders/>
          </w:tcPr>
          <w:p>
            <w:pPr>
              <w:pStyle w:val="Normal"/>
              <w:widowControl/>
              <w:spacing w:lineRule="auto" w:line="240" w:before="0" w:after="0"/>
              <w:jc w:val="both"/>
              <w:rPr>
                <w:rStyle w:val="Style15"/>
                <w:rFonts w:ascii="Times New Roman" w:hAnsi="Times New Roman" w:cs="Times New Roman"/>
                <w:i/>
                <w:i/>
                <w:sz w:val="24"/>
                <w:szCs w:val="24"/>
              </w:rPr>
            </w:pPr>
            <w:r>
              <w:rPr>
                <w:rStyle w:val="Style15"/>
                <w:rFonts w:eastAsia="Calibri" w:cs="Times New Roman" w:ascii="Times New Roman" w:hAnsi="Times New Roman"/>
                <w:kern w:val="0"/>
                <w:sz w:val="24"/>
                <w:szCs w:val="24"/>
                <w:lang w:val="ru-RU" w:eastAsia="en-US" w:bidi="ar-SA"/>
              </w:rPr>
              <w:t>Предметом договора является о</w:t>
            </w:r>
            <w:r>
              <w:rPr>
                <w:rFonts w:eastAsia="Calibri" w:cs="Times New Roman" w:ascii="Times New Roman" w:hAnsi="Times New Roman"/>
                <w:i/>
                <w:kern w:val="0"/>
                <w:sz w:val="24"/>
                <w:szCs w:val="24"/>
                <w:lang w:val="ru-RU" w:eastAsia="en-US" w:bidi="ar-SA"/>
              </w:rPr>
              <w:t>казание услуг и (или) выполнение работ по капитальному ремонту общего имущества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p>
          <w:p>
            <w:pPr>
              <w:pStyle w:val="Normal"/>
              <w:widowControl/>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Работы будут выполняться исполнителем в отношении объектов, указанных в ориентировочном адресном перечне,</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 xml:space="preserve">установленном постановлением Правительства Ивановской области от 30.04.2014 </w:t>
              <w:br/>
              <w:t xml:space="preserve">№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размещенном на сайте в информационно-коммуникационной сети «Интернет» по web-адресу: </w:t>
            </w:r>
            <w:hyperlink r:id="rId2">
              <w:r>
                <w:rPr>
                  <w:rStyle w:val="Hyperlink"/>
                  <w:rFonts w:ascii="Arial" w:hAnsi="Arial" w:eastAsia="Calibri" w:cs="Times New Roman"/>
                  <w:kern w:val="0"/>
                  <w:sz w:val="24"/>
                  <w:szCs w:val="24"/>
                  <w:lang w:val="ru-RU" w:eastAsia="en-US" w:bidi="ar-SA"/>
                </w:rPr>
                <w:t>http://www.kaprem37.ru/</w:t>
              </w:r>
            </w:hyperlink>
            <w:r>
              <w:rPr>
                <w:rStyle w:val="Style15"/>
                <w:rFonts w:eastAsia="Calibri" w:cs="Times New Roman" w:ascii="Times New Roman" w:hAnsi="Times New Roman"/>
                <w:kern w:val="0"/>
                <w:sz w:val="24"/>
                <w:szCs w:val="24"/>
                <w:lang w:val="ru-RU" w:eastAsia="en-US" w:bidi="ar-SA"/>
              </w:rPr>
              <w:t xml:space="preserve"> в разделе - «Региональная программа».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3</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Цена договора</w:t>
            </w:r>
          </w:p>
        </w:tc>
        <w:tc>
          <w:tcPr>
            <w:tcW w:w="7371" w:type="dxa"/>
            <w:tcBorders/>
          </w:tcPr>
          <w:p>
            <w:pPr>
              <w:pStyle w:val="ListParagraph"/>
              <w:widowControl/>
              <w:tabs>
                <w:tab w:val="clear" w:pos="708"/>
                <w:tab w:val="left" w:pos="450" w:leader="none"/>
              </w:tabs>
              <w:spacing w:lineRule="auto" w:line="240" w:before="0" w:after="0"/>
              <w:ind w:left="0"/>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 Определяется по итогам проведения электронного аукциона.</w:t>
            </w:r>
          </w:p>
          <w:p>
            <w:pPr>
              <w:pStyle w:val="ListParagraph"/>
              <w:widowControl/>
              <w:tabs>
                <w:tab w:val="clear" w:pos="708"/>
                <w:tab w:val="left" w:pos="450" w:leader="none"/>
              </w:tabs>
              <w:spacing w:lineRule="auto" w:line="240" w:before="0" w:after="0"/>
              <w:ind w:left="0"/>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 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pPr>
              <w:pStyle w:val="ListParagraph"/>
              <w:widowControl/>
              <w:tabs>
                <w:tab w:val="clear" w:pos="708"/>
                <w:tab w:val="left" w:pos="450" w:leader="none"/>
              </w:tabs>
              <w:spacing w:lineRule="auto" w:line="240" w:before="0" w:after="0"/>
              <w:ind w:left="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Цена договора о проведении капитального ремонта может быть увеличена по соглашению сторон в ходе его исполнения, но не более чем на 10 процентов в связи с пропорциональным увеличением объема оказания услуг и (или) выполнения работ.</w:t>
            </w:r>
          </w:p>
          <w:p>
            <w:pPr>
              <w:pStyle w:val="ListParagraph"/>
              <w:widowControl/>
              <w:tabs>
                <w:tab w:val="clear" w:pos="708"/>
                <w:tab w:val="left" w:pos="450" w:leader="none"/>
              </w:tabs>
              <w:spacing w:lineRule="auto" w:line="240" w:before="0" w:after="0"/>
              <w:ind w:left="0"/>
              <w:contextualSpacing/>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4</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услуг и (или) работ</w:t>
            </w:r>
          </w:p>
        </w:tc>
        <w:tc>
          <w:tcPr>
            <w:tcW w:w="7371" w:type="dxa"/>
            <w:tcBorders/>
          </w:tcPr>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и сроки оплаты услуг и (или) работ по договору устанавливаются Заказчиком в документации о проведении электронного аукциона.</w:t>
            </w:r>
            <w:r>
              <w:rPr>
                <w:rFonts w:eastAsia="Calibri" w:cs="Times New Roman" w:ascii="Times New Roman" w:hAnsi="Times New Roman"/>
                <w:kern w:val="0"/>
                <w:sz w:val="24"/>
                <w:szCs w:val="24"/>
                <w:lang w:val="ru-RU" w:eastAsia="ru-RU" w:bidi="ar-SA"/>
              </w:rPr>
              <w:t xml:space="preserve"> При любом установленном договором порядке окончательная оплата услуг и (или) работ по договору производится</w:t>
            </w:r>
            <w:r>
              <w:rPr>
                <w:rFonts w:eastAsia="Calibri" w:cs=""/>
                <w:kern w:val="0"/>
                <w:sz w:val="22"/>
                <w:szCs w:val="22"/>
                <w:lang w:val="ru-RU" w:eastAsia="en-US" w:bidi="ar-SA"/>
              </w:rPr>
              <w:t xml:space="preserve"> </w:t>
            </w:r>
            <w:r>
              <w:rPr>
                <w:rFonts w:eastAsia="Calibri" w:cs="Times New Roman" w:ascii="Times New Roman" w:hAnsi="Times New Roman"/>
                <w:kern w:val="0"/>
                <w:sz w:val="24"/>
                <w:szCs w:val="24"/>
                <w:lang w:val="ru-RU" w:eastAsia="ru-RU" w:bidi="ar-SA"/>
              </w:rPr>
              <w:t>за фактически выполненные услуги и (или) работы на основании утверждённого комиссией, созданной в порядке п. 5 ч. 2 ст. 182 ЖК РФ, и согласованного в порядке, предусмотренном ч. 2 ст. 190 ЖК РФ, акта о приёмке оказанных услуг и (или) выполненных работ.</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5</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w:t>
            </w:r>
            <w:r>
              <w:rPr>
                <w:rFonts w:eastAsia="Calibri" w:cs="Times New Roman" w:ascii="Times New Roman" w:hAnsi="Times New Roman"/>
                <w:kern w:val="0"/>
                <w:sz w:val="24"/>
                <w:szCs w:val="24"/>
                <w:highlight w:val="yellow"/>
                <w:lang w:val="ru-RU" w:eastAsia="en-US" w:bidi="ar-SA"/>
              </w:rPr>
              <w:t xml:space="preserve"> </w:t>
            </w:r>
            <w:r>
              <w:rPr>
                <w:rFonts w:eastAsia="Calibri" w:cs="Times New Roman" w:ascii="Times New Roman" w:hAnsi="Times New Roman"/>
                <w:kern w:val="0"/>
                <w:sz w:val="24"/>
                <w:szCs w:val="24"/>
                <w:lang w:val="ru-RU" w:eastAsia="en-US" w:bidi="ar-SA"/>
              </w:rPr>
              <w:t>оказания услуг и (или)</w:t>
            </w:r>
            <w:r>
              <w:rPr>
                <w:rStyle w:val="Style15"/>
                <w:rFonts w:eastAsia="Calibri" w:cs="Times New Roman" w:ascii="Times New Roman" w:hAnsi="Times New Roman"/>
                <w:kern w:val="0"/>
                <w:sz w:val="24"/>
                <w:szCs w:val="24"/>
                <w:lang w:val="ru-RU" w:eastAsia="en-US" w:bidi="ar-SA"/>
              </w:rPr>
              <w:t xml:space="preserve"> выполнения работ</w:t>
            </w:r>
          </w:p>
        </w:tc>
        <w:tc>
          <w:tcPr>
            <w:tcW w:w="7371" w:type="dxa"/>
            <w:tcBorders/>
          </w:tcPr>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и (или)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6</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 xml:space="preserve">Порядок и сроки приемки </w:t>
            </w:r>
            <w:r>
              <w:rPr>
                <w:rFonts w:eastAsia="Calibri" w:cs="Times New Roman" w:ascii="Times New Roman" w:hAnsi="Times New Roman"/>
                <w:kern w:val="0"/>
                <w:sz w:val="24"/>
                <w:szCs w:val="24"/>
                <w:lang w:val="ru-RU" w:eastAsia="en-US" w:bidi="ar-SA"/>
              </w:rPr>
              <w:t>оказанных услуг и (или)</w:t>
            </w:r>
            <w:r>
              <w:rPr>
                <w:rStyle w:val="Style15"/>
                <w:rFonts w:eastAsia="Calibri" w:cs="Times New Roman" w:ascii="Times New Roman" w:hAnsi="Times New Roman"/>
                <w:kern w:val="0"/>
                <w:sz w:val="24"/>
                <w:szCs w:val="24"/>
                <w:lang w:val="ru-RU" w:eastAsia="en-US" w:bidi="ar-SA"/>
              </w:rPr>
              <w:t xml:space="preserve"> выполненных работ</w:t>
            </w:r>
          </w:p>
        </w:tc>
        <w:tc>
          <w:tcPr>
            <w:tcW w:w="7371" w:type="dxa"/>
            <w:tcBorders/>
          </w:tcPr>
          <w:p>
            <w:pPr>
              <w:pStyle w:val="ConsPlusNormal1"/>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Порядок и сроки оказанных услуг и (или) выполненных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7</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Место оказания услуг и (или) выполнения работ</w:t>
            </w:r>
          </w:p>
        </w:tc>
        <w:tc>
          <w:tcPr>
            <w:tcW w:w="7371" w:type="dxa"/>
            <w:tcBorders/>
            <w:vAlign w:val="center"/>
          </w:tcPr>
          <w:p>
            <w:pPr>
              <w:pStyle w:val="ConsPlusNormal1"/>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Место оказания услуг и (или) выполнения работ устанавливается Заказчиком в документации о проведении электронного аукциона в пределах</w:t>
            </w:r>
            <w:r>
              <w:rPr>
                <w:rStyle w:val="Style15"/>
                <w:rFonts w:cs="Times New Roman" w:ascii="Times New Roman" w:hAnsi="Times New Roman"/>
                <w:i/>
                <w:kern w:val="0"/>
                <w:sz w:val="24"/>
                <w:szCs w:val="24"/>
                <w:u w:val="single"/>
                <w:lang w:val="ru-RU" w:bidi="ar-SA"/>
              </w:rPr>
              <w:t xml:space="preserve"> Ивановской области.</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8</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Обеспечение исполнения договора</w:t>
            </w:r>
          </w:p>
        </w:tc>
        <w:tc>
          <w:tcPr>
            <w:tcW w:w="7371" w:type="dxa"/>
            <w:tcBorders/>
          </w:tcPr>
          <w:p>
            <w:pPr>
              <w:pStyle w:val="Normal"/>
              <w:widowControl/>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 Исполнение обязательств по договору о проведении капитального ремонта обеспечивается:</w:t>
            </w:r>
          </w:p>
          <w:p>
            <w:pPr>
              <w:pStyle w:val="Normal"/>
              <w:widowControl/>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а) независимой гарантией, выданной в соответствии с требованиями, предусмотренными частью 1 статьи 45 Федерального закона «О контрактной системе в сфере закупок товаров, работ, услуг для обеспечения государственных и муниципальных нужд» (далее – независимая гарантия);</w:t>
            </w:r>
          </w:p>
          <w:p>
            <w:pPr>
              <w:pStyle w:val="ConsPlusNormal1"/>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обеспечительным платежом.</w:t>
            </w:r>
          </w:p>
          <w:p>
            <w:pPr>
              <w:pStyle w:val="Normal"/>
              <w:widowControl/>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pPr>
              <w:pStyle w:val="Normal"/>
              <w:widowControl/>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Размер обеспечения исполнения обязательств по договору о проведении капитального ремонта указываются в извещении о проведении электронного аукциона.</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4. 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5. 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 более процентов ниже начальной (максимальной) цены договора.</w:t>
            </w:r>
          </w:p>
          <w:p>
            <w:pPr>
              <w:pStyle w:val="ConsPlusNormal1"/>
              <w:tabs>
                <w:tab w:val="clear" w:pos="708"/>
                <w:tab w:val="left" w:pos="608"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6. 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организации, выдавшей независимую гарантию (далее - гарант), на условиях, определенных гражданским законодательством, и должна соответствовать следующим требованиям:</w:t>
            </w:r>
          </w:p>
          <w:p>
            <w:pPr>
              <w:pStyle w:val="ConsPlusNormal1"/>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быть безотзывной;</w:t>
            </w:r>
          </w:p>
          <w:p>
            <w:pPr>
              <w:pStyle w:val="Normal"/>
              <w:widowControl/>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б) требование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pPr>
              <w:pStyle w:val="Normal"/>
              <w:widowControl/>
              <w:spacing w:lineRule="auto" w:line="240" w:before="0" w:after="0"/>
              <w:jc w:val="both"/>
              <w:rPr>
                <w:rFonts w:ascii="Times New Roman" w:hAnsi="Times New Roman" w:cs="Times New Roman"/>
                <w:color w:val="FF0000"/>
                <w:sz w:val="24"/>
                <w:szCs w:val="24"/>
              </w:rPr>
            </w:pPr>
            <w:r>
              <w:rPr>
                <w:rFonts w:eastAsia="Calibri" w:cs="Times New Roman" w:ascii="Times New Roman" w:hAnsi="Times New Roman"/>
                <w:kern w:val="0"/>
                <w:sz w:val="24"/>
                <w:szCs w:val="24"/>
                <w:lang w:val="ru-RU" w:eastAsia="en-US" w:bidi="ar-SA"/>
              </w:rPr>
              <w:t>в) срок действия независимой гарантии должен превышать срок оказания услуг и (или) выполнения работ по договору о проведении капитального ремонта не менее чем на 60 дней.</w:t>
            </w:r>
          </w:p>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 xml:space="preserve">7. В </w:t>
            </w:r>
            <w:r>
              <w:rPr>
                <w:rFonts w:eastAsia="Calibri" w:cs="Times New Roman" w:ascii="Times New Roman" w:hAnsi="Times New Roman"/>
                <w:kern w:val="0"/>
                <w:sz w:val="24"/>
                <w:szCs w:val="24"/>
                <w:lang w:val="ru-RU" w:eastAsia="en-US" w:bidi="ar-SA"/>
              </w:rPr>
              <w:t>документации о проведении электронного аукциона</w:t>
            </w:r>
            <w:r>
              <w:rPr>
                <w:rStyle w:val="Style15"/>
                <w:rFonts w:eastAsia="Calibri" w:cs="Times New Roman" w:ascii="Times New Roman" w:hAnsi="Times New Roman"/>
                <w:kern w:val="0"/>
                <w:sz w:val="24"/>
                <w:szCs w:val="24"/>
                <w:lang w:val="ru-RU" w:eastAsia="en-US" w:bidi="ar-SA"/>
              </w:rPr>
              <w:t xml:space="preserve"> Заказчиком могут быть установлены дополнительные требования к обеспечению исполнения договора.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9</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Гарантийный срок</w:t>
            </w:r>
          </w:p>
        </w:tc>
        <w:tc>
          <w:tcPr>
            <w:tcW w:w="7371" w:type="dxa"/>
            <w:tcBorders/>
          </w:tcPr>
          <w:p>
            <w:pPr>
              <w:pStyle w:val="ConsPlusNormal1"/>
              <w:tabs>
                <w:tab w:val="clear" w:pos="708"/>
                <w:tab w:val="left" w:pos="608"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Условия о гарантийном сроке определяются Заказчиком в документации о проведении электронного аукциона.</w:t>
            </w:r>
          </w:p>
          <w:p>
            <w:pPr>
              <w:pStyle w:val="ConsPlusNormal1"/>
              <w:tabs>
                <w:tab w:val="clear" w:pos="708"/>
                <w:tab w:val="left" w:pos="608" w:leader="none"/>
              </w:tabs>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Срок предоставления гарантий на оказанные услуги и (или) выполненные работы не может быть менее 5 лет со дня подписания соответствующего акта о приемке оказанных услуг и (или) выполненных работ.</w:t>
            </w:r>
          </w:p>
        </w:tc>
      </w:tr>
      <w:tr>
        <w:trPr>
          <w:trHeight w:val="1137" w:hRule="atLeast"/>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10</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Ответственность Заказчика и подрядчика</w:t>
            </w:r>
          </w:p>
        </w:tc>
        <w:tc>
          <w:tcPr>
            <w:tcW w:w="7371" w:type="dxa"/>
            <w:tcBorders/>
          </w:tcPr>
          <w:p>
            <w:pPr>
              <w:pStyle w:val="ConsPlusNormal1"/>
              <w:tabs>
                <w:tab w:val="clear" w:pos="708"/>
                <w:tab w:val="left" w:pos="600" w:leader="none"/>
              </w:tabs>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11</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заключения договора</w:t>
            </w:r>
          </w:p>
        </w:tc>
        <w:tc>
          <w:tcPr>
            <w:tcW w:w="7371" w:type="dxa"/>
            <w:tcBorders/>
          </w:tcPr>
          <w:p>
            <w:pPr>
              <w:pStyle w:val="ConsPlusNormal1"/>
              <w:tabs>
                <w:tab w:val="clear" w:pos="708"/>
                <w:tab w:val="left" w:pos="750"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Договор на выполнение работ заключается Заказчиком в соответствии с Гражданским кодексом Российской Федерации и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 № 615 (далее – Положение).</w:t>
            </w:r>
          </w:p>
          <w:p>
            <w:pPr>
              <w:pStyle w:val="ConsPlusNormal1"/>
              <w:tabs>
                <w:tab w:val="clear" w:pos="708"/>
                <w:tab w:val="left" w:pos="600"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2. Порядок заключения договора определяется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12</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Другие существенные условия</w:t>
            </w:r>
          </w:p>
        </w:tc>
        <w:tc>
          <w:tcPr>
            <w:tcW w:w="7371" w:type="dxa"/>
            <w:tcBorders/>
          </w:tcPr>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недопуск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pPr>
              <w:pStyle w:val="ConsPlusNormal1"/>
              <w:tabs>
                <w:tab w:val="clear" w:pos="708"/>
                <w:tab w:val="left" w:pos="571" w:leader="none"/>
              </w:tabs>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 xml:space="preserve">Планируемый адресный перечень многоквартирных домов, на выполнение капитального ремонта общего имущества установлен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и размещен на официальном портале </w:t>
      </w:r>
      <w:hyperlink r:id="rId3">
        <w:r>
          <w:rPr>
            <w:rStyle w:val="Hyperlink"/>
            <w:rFonts w:ascii="Arial" w:hAnsi="Arial" w:cs="Times New Roman"/>
            <w:color w:val="auto"/>
            <w:sz w:val="28"/>
            <w:szCs w:val="28"/>
          </w:rPr>
          <w:t>http://kaprem37.ru/</w:t>
        </w:r>
      </w:hyperlink>
      <w:r>
        <w:rPr>
          <w:rFonts w:cs="Times New Roman" w:ascii="Times New Roman" w:hAnsi="Times New Roman"/>
          <w:sz w:val="28"/>
          <w:szCs w:val="28"/>
        </w:rPr>
        <w:t xml:space="preserve"> в разделе</w:t>
      </w:r>
      <w:r>
        <w:rPr>
          <w:rStyle w:val="Style15"/>
          <w:rFonts w:cs="Times New Roman" w:ascii="Times New Roman" w:hAnsi="Times New Roman"/>
          <w:sz w:val="28"/>
          <w:szCs w:val="28"/>
        </w:rPr>
        <w:t xml:space="preserve"> «Региональная программа»</w:t>
      </w:r>
      <w:r>
        <w:rPr>
          <w:rFonts w:cs="Times New Roman" w:ascii="Times New Roman" w:hAnsi="Times New Roman"/>
          <w:sz w:val="28"/>
          <w:szCs w:val="28"/>
        </w:rPr>
        <w:t>.</w:t>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 проведении предварительного отбора по предмету последующего электронного аукциона - о</w:t>
      </w:r>
      <w:r>
        <w:rPr>
          <w:rFonts w:cs="Times New Roman" w:ascii="Times New Roman" w:hAnsi="Times New Roman"/>
          <w:i/>
          <w:sz w:val="28"/>
          <w:szCs w:val="28"/>
        </w:rPr>
        <w:t>казание услуг и (или) выполнение работ по капитальному ремонту общего имущества многоквартирных домов, являющихся объектами культурного наследия, в случаях, предусмотренных пунктом 5 статьи 56.1 Федерального закона «Об объектах культурного наследия (памятниках истории и культуры) народов Российской Федерации», являющихся объектами культурного наследия либо выявленными объектами культурного наследия, в случаях, предусмотренных пунктом 6 статьи 56.1 указанного Федерального закона</w:t>
      </w:r>
      <w:r>
        <w:rPr>
          <w:rFonts w:cs="Times New Roman" w:ascii="Times New Roman" w:hAnsi="Times New Roman"/>
          <w:sz w:val="28"/>
          <w:szCs w:val="28"/>
        </w:rPr>
        <w:t>, устанавливаются следующие требования к его участникам (далее – Участник):</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а) </w:t>
      </w:r>
      <w:r>
        <w:rPr>
          <w:rFonts w:eastAsia="Calibri" w:cs="Times New Roman" w:ascii="Times New Roman" w:hAnsi="Times New Roman"/>
          <w:sz w:val="28"/>
          <w:szCs w:val="28"/>
        </w:rPr>
        <w:t>членство Участника в саморегулируемой организации в области строительства, реконструкции, капитального ремонта объектов капитального строительства, при этом указанное требование не применяется к участникам предварительного отбора, являющимся лицами, указанными в пункте 1 части 2.2 статьи 52 Градостроительного кодекса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б) 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 неприостановление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е)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ж)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и)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л) наличие у Участника предварительного отбора в штате минимального количества квалифицированного персонала:</w:t>
      </w:r>
    </w:p>
    <w:p>
      <w:pPr>
        <w:pStyle w:val="ConsPlusNormal1"/>
        <w:tabs>
          <w:tab w:val="clear" w:pos="708"/>
          <w:tab w:val="left" w:pos="993" w:leader="none"/>
        </w:tabs>
        <w:jc w:val="both"/>
        <w:rPr>
          <w:rFonts w:ascii="Times New Roman" w:hAnsi="Times New Roman" w:cs="Times New Roman"/>
          <w:i/>
          <w:i/>
          <w:sz w:val="18"/>
          <w:szCs w:val="18"/>
        </w:rPr>
      </w:pPr>
      <w:r>
        <w:rPr>
          <w:rFonts w:cs="Times New Roman" w:ascii="Times New Roman" w:hAnsi="Times New Roman"/>
          <w:i/>
          <w:sz w:val="18"/>
          <w:szCs w:val="18"/>
        </w:rPr>
      </w:r>
    </w:p>
    <w:tbl>
      <w:tblPr>
        <w:tblW w:w="8640"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07"/>
        <w:gridCol w:w="2126"/>
        <w:gridCol w:w="1841"/>
        <w:gridCol w:w="2408"/>
        <w:gridCol w:w="1558"/>
      </w:tblGrid>
      <w:tr>
        <w:trPr>
          <w:trHeight w:val="906"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 xml:space="preserve">№ </w:t>
            </w:r>
            <w:r>
              <w:rPr>
                <w:rFonts w:eastAsia="Calibri" w:cs="Times New Roman" w:ascii="Times New Roman" w:hAnsi="Times New Roman"/>
                <w:b/>
                <w:sz w:val="20"/>
                <w:szCs w:val="20"/>
              </w:rPr>
              <w:t>п/п</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Должность</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Образование</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b/>
                <w:sz w:val="20"/>
                <w:szCs w:val="20"/>
              </w:rPr>
            </w:pPr>
            <w:r>
              <w:rPr>
                <w:rFonts w:eastAsia="Calibri" w:cs="Times New Roman" w:ascii="Times New Roman" w:hAnsi="Times New Roman"/>
                <w:b/>
                <w:sz w:val="20"/>
                <w:szCs w:val="20"/>
              </w:rPr>
              <w:t>Стаж работы по специальности***</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Количество человек, не менее</w:t>
            </w:r>
          </w:p>
        </w:tc>
      </w:tr>
      <w:tr>
        <w:trPr>
          <w:trHeight w:val="1606"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Индивидуальный предприниматель/</w:t>
              <w:br/>
              <w:t>руководитель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vertAlign w:val="superscript"/>
              </w:rPr>
            </w:pPr>
            <w:r>
              <w:rPr>
                <w:rFonts w:eastAsia="Calibri" w:cs="Times New Roman"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r>
      <w:tr>
        <w:trPr>
          <w:trHeight w:val="2111"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2</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Работник индивидуального предпринимателя/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eastAsia="Calibri" w:cs="Times New Roman"/>
                <w:sz w:val="20"/>
                <w:szCs w:val="20"/>
              </w:rPr>
            </w:pPr>
            <w:r>
              <w:rPr>
                <w:rFonts w:eastAsia="Calibri" w:cs="Times New Roman" w:ascii="Times New Roman" w:hAnsi="Times New Roman"/>
                <w:sz w:val="20"/>
                <w:szCs w:val="20"/>
              </w:rPr>
              <w:t>Высшее образование соответствующего профиля**</w:t>
            </w:r>
          </w:p>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rFonts w:ascii="Times New Roman" w:hAnsi="Times New Roman" w:eastAsia="Calibri" w:cs="Times New Roman"/>
                <w:sz w:val="20"/>
                <w:szCs w:val="20"/>
              </w:rPr>
            </w:pPr>
            <w:r>
              <w:rPr>
                <w:rFonts w:eastAsia="Calibri" w:cs="Times New Roman" w:ascii="Times New Roman" w:hAnsi="Times New Roman"/>
                <w:sz w:val="20"/>
                <w:szCs w:val="20"/>
              </w:rPr>
              <w:t>4</w:t>
            </w:r>
          </w:p>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по основному месту работы</w:t>
            </w:r>
          </w:p>
        </w:tc>
      </w:tr>
    </w:tbl>
    <w:p>
      <w:pPr>
        <w:pStyle w:val="ConsPlusNormal1"/>
        <w:tabs>
          <w:tab w:val="clear" w:pos="708"/>
          <w:tab w:val="left" w:pos="993" w:leader="none"/>
        </w:tabs>
        <w:jc w:val="both"/>
        <w:rPr>
          <w:rFonts w:ascii="Times New Roman" w:hAnsi="Times New Roman" w:cs="Times New Roman"/>
          <w:i/>
          <w:i/>
          <w:sz w:val="18"/>
          <w:szCs w:val="18"/>
        </w:rPr>
      </w:pPr>
      <w:r>
        <w:rPr>
          <w:rFonts w:cs="Times New Roman" w:ascii="Times New Roman" w:hAnsi="Times New Roman"/>
          <w:i/>
          <w:sz w:val="18"/>
          <w:szCs w:val="18"/>
        </w:rPr>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 xml:space="preserve">* - </w:t>
      </w:r>
      <w:r>
        <w:rPr>
          <w:rFonts w:cs="Times New Roman" w:ascii="Times New Roman" w:hAnsi="Times New Roman"/>
          <w:sz w:val="18"/>
          <w:szCs w:val="18"/>
        </w:rPr>
        <w:t>Информация и документы представляются в случае, если индивидуальный предприниматель/руководитель юридического лица самостоятельно организуют оказание услуг и (или) выполнение работ по предмету предварительного отбора.</w:t>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w:t>
      </w:r>
      <w:r>
        <w:rPr>
          <w:rFonts w:cs="Times New Roman" w:ascii="Times New Roman" w:hAnsi="Times New Roman"/>
          <w:sz w:val="18"/>
          <w:szCs w:val="18"/>
        </w:rPr>
        <w:t xml:space="preserve"> - Наименования специальностей высшего образования должны соответствовать приложению к приказу Минстроя России от 06.11.2020 № 672/пр.</w:t>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sz w:val="18"/>
          <w:szCs w:val="18"/>
        </w:rPr>
        <w:t>*** - Стаж работы считается с момента начала трудовой деятельности в соответствии с данными трудовой книжки.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являлись строительство, реконструкция, капитальный ремонт зданий, являющихся объектами капитального строительства, в том числе по договорам, заключенным в соответствии с Положением. При этом минимальный размер стоимости оказанных услуг и (или) выполненных работ по указанным исполненным контрактам и (или) договорам должен в совокупности составлять:</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не превышает 90 000 000 (девяносто миллионов) рублей (первый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90 000 000 (девяносто миллионов) рублей, но не превышает 500 000 000 (пятьсот миллионов) рублей (второй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500 000 000 (пятьсот миллионов) рублей, но не превышает 3 000 000 000 (три миллиарда) рублей (третий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3 000 000 000 (трех миллиардов) рублей (четвертый и пятый уровни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н) отсутствие в отношении участника предварительного отбора решения об исключении подрядной организации из реестра квалифицированных подрядных организаций в случае установления одного из фактов, указанных в подпунктах «з» - «к» пункта 66 Положения, в течение года до даты рассмотрения заявки на участие в предварительном отборе комиссией по проведению предварительного отбора. 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содержанию, форме и составу заявки на участие в предварительном отборе</w:t>
      </w:r>
    </w:p>
    <w:p>
      <w:pPr>
        <w:pStyle w:val="Normal"/>
        <w:tabs>
          <w:tab w:val="clear" w:pos="708"/>
          <w:tab w:val="left" w:pos="3060" w:leader="none"/>
        </w:tabs>
        <w:spacing w:lineRule="auto" w:line="240" w:before="0" w:after="0"/>
        <w:ind w:firstLine="709" w:right="2"/>
        <w:jc w:val="both"/>
        <w:rPr>
          <w:rFonts w:ascii="Times New Roman" w:hAnsi="Times New Roman" w:cs="Times New Roman"/>
          <w:i/>
          <w:i/>
          <w:sz w:val="24"/>
          <w:szCs w:val="24"/>
        </w:rPr>
      </w:pPr>
      <w:r>
        <w:rPr>
          <w:rFonts w:cs="Times New Roman" w:ascii="Times New Roman" w:hAnsi="Times New Roman"/>
          <w:i/>
          <w:sz w:val="24"/>
          <w:szCs w:val="24"/>
        </w:rPr>
      </w:r>
    </w:p>
    <w:p>
      <w:pPr>
        <w:pStyle w:val="ListParagraph"/>
        <w:numPr>
          <w:ilvl w:val="0"/>
          <w:numId w:val="2"/>
        </w:numPr>
        <w:tabs>
          <w:tab w:val="clear" w:pos="708"/>
          <w:tab w:val="left" w:pos="993" w:leader="none"/>
        </w:tabs>
        <w:spacing w:lineRule="auto" w:line="240" w:before="0" w:after="0"/>
        <w:ind w:firstLine="709" w:left="0"/>
        <w:contextualSpacing/>
        <w:jc w:val="both"/>
        <w:rPr>
          <w:rFonts w:ascii="Times New Roman" w:hAnsi="Times New Roman" w:cs="Times New Roman"/>
          <w:sz w:val="28"/>
          <w:szCs w:val="28"/>
        </w:rPr>
      </w:pPr>
      <w:r>
        <w:rPr>
          <w:rFonts w:cs="Times New Roman" w:ascii="Times New Roman" w:hAnsi="Times New Roman"/>
          <w:sz w:val="28"/>
          <w:szCs w:val="28"/>
        </w:rPr>
        <w:t>Участник предварительного отбора должен подготовить Заявку по форме приложения № 1 к Документации о проведении предварительного отбора,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Участник предварительного отбора должен подписать Заявку усиленной неквалифицированной электронной подписью.</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В состав Заявки включаются следующие документы:</w:t>
      </w:r>
    </w:p>
    <w:p>
      <w:pPr>
        <w:pStyle w:val="Normal"/>
        <w:tabs>
          <w:tab w:val="clear" w:pos="708"/>
          <w:tab w:val="left" w:pos="993" w:leader="none"/>
        </w:tabs>
        <w:spacing w:lineRule="auto" w:line="240" w:before="12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б)</w:t>
      </w:r>
      <w:r>
        <w:rPr/>
        <w:t xml:space="preserve"> </w:t>
      </w:r>
      <w:r>
        <w:rPr>
          <w:rStyle w:val="Style15"/>
          <w:rFonts w:cs="Times New Roman" w:ascii="Times New Roman" w:hAnsi="Times New Roman"/>
          <w:sz w:val="28"/>
          <w:szCs w:val="28"/>
        </w:rPr>
        <w:t>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в) копии учредительных документов участника предварительного отбора - для юридического лица;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д) документ, подтверждающий полномочия лица на осуществление действий от имени участника предварительного отбора;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color w:themeColor="text1" w:val="000000"/>
          <w:sz w:val="28"/>
          <w:szCs w:val="28"/>
        </w:rPr>
      </w:pPr>
      <w:r>
        <w:rPr>
          <w:rStyle w:val="Style15"/>
          <w:rFonts w:cs="Times New Roman" w:ascii="Times New Roman" w:hAnsi="Times New Roman"/>
          <w:sz w:val="28"/>
          <w:szCs w:val="28"/>
        </w:rPr>
        <w:t>е)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ж) копия расчета по страховым взносам, представляемого плательщиками страховых взносов,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з) копия штатного расписания;</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 xml:space="preserve">и) штатно-списочный состав сотрудников, подготовленный по форме приложения № 2 к Документации о проведении предварительного отбора;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к) копии трудовых книжек и (или) сведения о трудовой деятельности, предусмотренные статьей 66.1 Трудового кодекса Российской Федерации, копии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«л» Требований к участникам предварительного отбора;</w:t>
      </w:r>
    </w:p>
    <w:p>
      <w:pPr>
        <w:pStyle w:val="Normal"/>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л) копии не менее 3 исполненных контрактов и (или) договоров, подтверждающих наличие у участника предварительного отбора, предусмотренного пунктом «м»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pPr>
        <w:pStyle w:val="Normal"/>
        <w:spacing w:lineRule="auto" w:line="240" w:before="0" w:after="0"/>
        <w:ind w:firstLine="709"/>
        <w:jc w:val="both"/>
        <w:rPr>
          <w:rFonts w:ascii="Times New Roman" w:hAnsi="Times New Roman" w:cs="Times New Roman"/>
          <w:i/>
          <w:i/>
          <w:sz w:val="28"/>
          <w:szCs w:val="28"/>
        </w:rPr>
      </w:pPr>
      <w:r>
        <w:rPr>
          <w:rStyle w:val="Style15"/>
          <w:rFonts w:cs="Times New Roman" w:ascii="Times New Roman" w:hAnsi="Times New Roman"/>
          <w:sz w:val="28"/>
          <w:szCs w:val="28"/>
        </w:rPr>
        <w:t>м) согласие на обработку персональных данных в соответствии с Федеральным законом «О персональных данных» каждого работника, персональные данные которого содержатся в заявке на участие в предварительном отборе.</w:t>
      </w:r>
    </w:p>
    <w:p>
      <w:pPr>
        <w:pStyle w:val="ConsPlusNormal1"/>
        <w:ind w:left="-426"/>
        <w:jc w:val="center"/>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4"/>
          <w:szCs w:val="24"/>
        </w:rPr>
      </w:pPr>
      <w:r>
        <w:rPr>
          <w:rFonts w:cs="Times New Roman" w:ascii="Times New Roman" w:hAnsi="Times New Roman"/>
          <w:b/>
          <w:sz w:val="28"/>
          <w:szCs w:val="28"/>
        </w:rPr>
        <w:t>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Регистрация на электронной площадке, а также участие в предварительном отборе осуществляется без взимания платы с Участника.</w:t>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Участник в рамках извещения о проведении предварительного отбора </w:t>
      </w:r>
      <w:r>
        <w:rPr>
          <w:rFonts w:cs="Times New Roman" w:ascii="Times New Roman" w:hAnsi="Times New Roman"/>
          <w:b/>
          <w:sz w:val="28"/>
          <w:szCs w:val="28"/>
        </w:rPr>
        <w:t>№ ПО.а1.26.</w:t>
      </w:r>
      <w:r>
        <w:rPr>
          <w:rFonts w:cs="Times New Roman" w:ascii="Times New Roman" w:hAnsi="Times New Roman"/>
          <w:b/>
          <w:sz w:val="28"/>
          <w:szCs w:val="28"/>
        </w:rPr>
        <w:t>2</w:t>
      </w:r>
      <w:r>
        <w:rPr>
          <w:rFonts w:cs="Times New Roman" w:ascii="Times New Roman" w:hAnsi="Times New Roman"/>
          <w:b/>
          <w:sz w:val="28"/>
          <w:szCs w:val="28"/>
        </w:rPr>
        <w:t xml:space="preserve"> от </w:t>
      </w:r>
      <w:r>
        <w:rPr>
          <w:rFonts w:cs="Times New Roman" w:ascii="Times New Roman" w:hAnsi="Times New Roman"/>
          <w:b/>
          <w:sz w:val="28"/>
          <w:szCs w:val="28"/>
        </w:rPr>
        <w:t>21</w:t>
      </w:r>
      <w:r>
        <w:rPr>
          <w:rFonts w:cs="Times New Roman" w:ascii="Times New Roman" w:hAnsi="Times New Roman"/>
          <w:b/>
          <w:sz w:val="28"/>
          <w:szCs w:val="28"/>
        </w:rPr>
        <w:t>.0</w:t>
      </w:r>
      <w:r>
        <w:rPr>
          <w:rFonts w:cs="Times New Roman" w:ascii="Times New Roman" w:hAnsi="Times New Roman"/>
          <w:b/>
          <w:sz w:val="28"/>
          <w:szCs w:val="28"/>
        </w:rPr>
        <w:t>5</w:t>
      </w:r>
      <w:r>
        <w:rPr>
          <w:rFonts w:cs="Times New Roman" w:ascii="Times New Roman" w:hAnsi="Times New Roman"/>
          <w:b/>
          <w:sz w:val="28"/>
          <w:szCs w:val="28"/>
        </w:rPr>
        <w:t xml:space="preserve">.2026 </w:t>
      </w:r>
      <w:r>
        <w:rPr>
          <w:rFonts w:cs="Times New Roman" w:ascii="Times New Roman" w:hAnsi="Times New Roman"/>
          <w:sz w:val="28"/>
          <w:szCs w:val="28"/>
        </w:rPr>
        <w:t>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изменить.</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случае установления факта подачи одним Участником 2 (двух) и более Заявок при условии, что поданные ранее Заявки не отозваны, все Заявки такого Участника не рассматриваются.</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подается Участником не ранее даты, указанной в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Заявки, поданные ранее даты и времени, указанные в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не принимаются оператором электронной площадки и возвращаются Участнику.</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Каждая Заявка, поступившая в установленные сроки, регистрируется оператором электронной площадки, с присвоением порядкового номера.</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pPr>
        <w:pStyle w:val="ConsPlusNormal1"/>
        <w:tabs>
          <w:tab w:val="clear" w:pos="708"/>
          <w:tab w:val="left" w:pos="1134" w:leader="none"/>
        </w:tabs>
        <w:ind w:left="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Порядок и срок отзыва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отозвать.</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может быть отозвана до даты и времени окончания срока подачи Заявок, указанных в Извещении и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Отзыв Заявки осуществляется через сайт оператора электронной площадки, в соответствии с регламентом работы электронной площадки.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Уведомление об отзыве Заявки должно быть подписано усиленной неквалифицированной электронной подписью Участника.</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Любое заинтересованное лицо вправе направить в орган по ведению реестра квалифицированных подрядных организаций (далее – Орган по ведению РКП) запрос о разъяснении Документации о проведении предварительного отбора (далее –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Запросы принимаются </w:t>
      </w:r>
      <w:r>
        <w:rPr>
          <w:rFonts w:cs="Times New Roman" w:ascii="Times New Roman" w:hAnsi="Times New Roman"/>
          <w:b/>
          <w:sz w:val="28"/>
          <w:szCs w:val="28"/>
        </w:rPr>
        <w:t xml:space="preserve">до </w:t>
      </w:r>
      <w:r>
        <w:rPr>
          <w:rFonts w:cs="Times New Roman" w:ascii="Times New Roman" w:hAnsi="Times New Roman"/>
          <w:b/>
          <w:sz w:val="28"/>
          <w:szCs w:val="28"/>
        </w:rPr>
        <w:t>4</w:t>
      </w:r>
      <w:r>
        <w:rPr>
          <w:rFonts w:cs="Times New Roman" w:ascii="Times New Roman" w:hAnsi="Times New Roman"/>
          <w:b/>
          <w:sz w:val="28"/>
          <w:szCs w:val="28"/>
        </w:rPr>
        <w:t xml:space="preserve"> </w:t>
      </w:r>
      <w:r>
        <w:rPr>
          <w:rFonts w:cs="Times New Roman" w:ascii="Times New Roman" w:hAnsi="Times New Roman"/>
          <w:b/>
          <w:sz w:val="28"/>
          <w:szCs w:val="28"/>
        </w:rPr>
        <w:t>июня</w:t>
      </w:r>
      <w:r>
        <w:rPr>
          <w:rFonts w:cs="Times New Roman" w:ascii="Times New Roman" w:hAnsi="Times New Roman"/>
          <w:b/>
          <w:sz w:val="28"/>
          <w:szCs w:val="28"/>
        </w:rPr>
        <w:t xml:space="preserve"> 2026</w:t>
      </w:r>
      <w:bookmarkStart w:id="0" w:name="_GoBack"/>
      <w:bookmarkEnd w:id="0"/>
      <w:r>
        <w:rPr>
          <w:rFonts w:cs="Times New Roman" w:ascii="Times New Roman" w:hAnsi="Times New Roman"/>
          <w:b/>
          <w:sz w:val="28"/>
          <w:szCs w:val="28"/>
        </w:rPr>
        <w:t xml:space="preserve"> г. </w:t>
      </w:r>
      <w:r>
        <w:rPr>
          <w:rFonts w:cs="Times New Roman" w:ascii="Times New Roman" w:hAnsi="Times New Roman"/>
          <w:sz w:val="28"/>
          <w:szCs w:val="28"/>
        </w:rPr>
        <w:t xml:space="preserve">включительно.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Запрос поступил в сроки, указанные в пункте 3 настоящего раздела, Орган по ведению РКП в течение 3 (трех)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случае если Запрос поступил позднее даты, указанной в пункте 3 настоящего раздела, данный Запрос не рассматривается Органом по ведению РКП.</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Запрос должен быть подписан, усиленной неквалифицированной электронной подписью лица, направившего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left="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 xml:space="preserve">Порядок рассмотрения заявок на участие </w:t>
        <w:br/>
        <w:t>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Поступившие от Участников Заявки рассматриваются комиссией по проведению предварительного отбора (далее – Комиссия).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Комиссия, ее персональный состав, а также порядок ее работы утверждаются Органом по ведению РКП до начала проведения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Участие в предварительном отборе и заседаниях Комиссии осуществляется без взимания платы с Участника.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Протоколы Комиссии, составленные в ходе рассмотрения Заявок, хранятся Органом по ведению РКП не менее 3 (трех) лет.</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 xml:space="preserve">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предварительного отбора или усыновленными им). В случае выявления в составе Комиссии указанных лиц Участник должен сообщить об этом Органу по ведению РКП. </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 xml:space="preserve">Порядок рассмотрения Заявок </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 </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Любой Участник и (или) его представитель вправе участвовать в заседаниях Комиссии и осуществлять аудио- и (или) видеозаписи заседания Комиссии.</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На основании результатов рассмотрения Заявок и Участников Комиссия принимает одно из следующих решений:</w:t>
      </w:r>
    </w:p>
    <w:p>
      <w:pPr>
        <w:pStyle w:val="ConsPlusNormal1"/>
        <w:tabs>
          <w:tab w:val="clear" w:pos="708"/>
          <w:tab w:val="left" w:pos="1134" w:leader="none"/>
        </w:tabs>
        <w:ind w:left="851"/>
        <w:jc w:val="both"/>
        <w:rPr>
          <w:rFonts w:ascii="Times New Roman" w:hAnsi="Times New Roman" w:cs="Times New Roman"/>
          <w:sz w:val="28"/>
          <w:szCs w:val="28"/>
        </w:rPr>
      </w:pPr>
      <w:r>
        <w:rPr>
          <w:rFonts w:cs="Times New Roman" w:ascii="Times New Roman" w:hAnsi="Times New Roman"/>
          <w:sz w:val="28"/>
          <w:szCs w:val="28"/>
        </w:rPr>
        <w:t>а) включение Участника в реестр квалифицированных подрядных организаций;</w:t>
      </w:r>
    </w:p>
    <w:p>
      <w:pPr>
        <w:pStyle w:val="ConsPlusNormal1"/>
        <w:ind w:left="851"/>
        <w:jc w:val="both"/>
        <w:rPr>
          <w:rFonts w:ascii="Times New Roman" w:hAnsi="Times New Roman" w:cs="Times New Roman"/>
          <w:sz w:val="28"/>
          <w:szCs w:val="28"/>
        </w:rPr>
      </w:pPr>
      <w:r>
        <w:rPr>
          <w:rFonts w:cs="Times New Roman" w:ascii="Times New Roman" w:hAnsi="Times New Roman"/>
          <w:sz w:val="28"/>
          <w:szCs w:val="28"/>
        </w:rPr>
        <w:t>б) отказ во включении Участника в реестр квалифицированных подрядных организаций.</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Решение Комиссии об отказе во включении Участника в реестр квалифицированных подрядных организаций принимается в следующих случаях:</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а) несоответствие Участника требованиям, установленным в Документации о проведении предварительного отбора;</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б) несоответствие Заявки требованиям, установленным в Документации о проведении предварительного отбора;</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в) установление факта представления Участником недостоверной информации (сведений, документов) в составе Заявки.</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Невключение в реестр квалифицированных подрядных организаций по иным основаниям, кроме случаев, указанных в пункте 2.7. настоящего Порядка, не допускается.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Орган по ведению РКП в течение 2 (двух) рабочих дней с даты принятия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b/>
          <w:sz w:val="28"/>
          <w:szCs w:val="28"/>
        </w:rPr>
        <w:t>Принятие решения о признании предварительного отбора несостоявшимся.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Предварительный отбор признается Комиссией несостоявшимся в следующих случаях:</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б) принятие Комиссией решения о невключении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В случае признания предварительного отбора несостоявшимся Орган по ведению РКП принимает решение об объявлении процедуры предварительного отбора повторно.</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Протокол заседания Комиссии</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 </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 Документацией о проведении предварительного отбора, состав членов Комиссии, участвующих в рассмотрении Заявок, принятые решения.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 xml:space="preserve">Приложение № 1 </w:t>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ФОРМА ЗАЯВКИ</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НА УЧАСТИЕ В ПРЕДВАРИТЕЛЬНОМ ОТБОРЕ ПОДРЯДНЫХ ОРГАНИЗАЦИЙ</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ПО ИЗВЕЩЕНИЮ № _______________ ОТ _____________________</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ind w:left="584"/>
        <w:jc w:val="right"/>
        <w:rPr>
          <w:rFonts w:ascii="Times New Roman" w:hAnsi="Times New Roman" w:cs="Times New Roman"/>
          <w:sz w:val="24"/>
          <w:szCs w:val="24"/>
        </w:rPr>
      </w:pPr>
      <w:r>
        <w:rPr>
          <w:rFonts w:cs="Times New Roman" w:ascii="Times New Roman" w:hAnsi="Times New Roman"/>
          <w:sz w:val="24"/>
          <w:szCs w:val="24"/>
          <w:u w:val="single"/>
        </w:rPr>
        <w:t>«</w:t>
        <w:tab/>
        <w:t xml:space="preserve">      »</w:t>
      </w:r>
      <w:r>
        <w:rPr>
          <w:rFonts w:cs="Times New Roman" w:ascii="Times New Roman" w:hAnsi="Times New Roman"/>
          <w:sz w:val="24"/>
          <w:szCs w:val="24"/>
        </w:rPr>
        <w:t xml:space="preserve"> ______________ 2__ года</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Pr>
          <w:rFonts w:cs="Times New Roman" w:ascii="Times New Roman" w:hAnsi="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Pr>
          <w:rFonts w:cs="Times New Roman" w:ascii="Times New Roman" w:hAnsi="Times New Roman"/>
          <w:sz w:val="24"/>
          <w:szCs w:val="24"/>
          <w:u w:val="single"/>
        </w:rPr>
        <w:t xml:space="preserve">     </w:t>
      </w:r>
      <w:r>
        <w:rPr>
          <w:rFonts w:cs="Times New Roman" w:ascii="Times New Roman" w:hAnsi="Times New Roman"/>
          <w:sz w:val="24"/>
          <w:szCs w:val="24"/>
        </w:rPr>
        <w:t xml:space="preserve"> в лице  </w:t>
      </w:r>
      <w:r>
        <w:rPr>
          <w:rFonts w:cs="Times New Roman" w:ascii="Times New Roman" w:hAnsi="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Pr>
          <w:rFonts w:cs="Times New Roman" w:ascii="Times New Roman" w:hAnsi="Times New Roman"/>
          <w:sz w:val="24"/>
          <w:szCs w:val="24"/>
        </w:rPr>
        <w:t>действующего на основании</w:t>
      </w:r>
      <w:r>
        <w:rPr>
          <w:rFonts w:cs="Times New Roman" w:ascii="Times New Roman" w:hAnsi="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r>
        <w:rPr>
          <w:rFonts w:cs="Times New Roman" w:ascii="Times New Roman" w:hAnsi="Times New Roman"/>
          <w:sz w:val="24"/>
          <w:szCs w:val="24"/>
        </w:rPr>
        <w:t xml:space="preserve">     просит рассмотреть заявку на участие в предварительном отборе подрядных организаций по предмету отбора</w:t>
      </w:r>
      <w:r>
        <w:rPr>
          <w:rFonts w:cs="Times New Roman" w:ascii="Times New Roman" w:hAnsi="Times New Roman"/>
          <w:i/>
          <w:sz w:val="24"/>
          <w:szCs w:val="24"/>
          <w:u w:val="single"/>
        </w:rPr>
        <w:t xml:space="preserve"> (указывается предмет предварительного отбора) .</w:t>
      </w:r>
      <w:r>
        <w:rPr>
          <w:rFonts w:cs="Times New Roman" w:ascii="Times New Roman" w:hAnsi="Times New Roman"/>
          <w:sz w:val="24"/>
          <w:szCs w:val="24"/>
        </w:rPr>
        <w:t xml:space="preserve">                                       </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Настоящим гарантируем достоверность представленной информации и подтверждаем право</w:t>
      </w:r>
      <w:r>
        <w:rPr>
          <w:rFonts w:cs="Times New Roman" w:ascii="Times New Roman" w:hAnsi="Times New Roman"/>
          <w:i/>
          <w:sz w:val="24"/>
          <w:szCs w:val="24"/>
          <w:u w:val="single"/>
        </w:rPr>
        <w:t xml:space="preserve">  (указывается наименование органа по ведению реестра квалифицированных подрядных организаций) </w:t>
      </w:r>
      <w:r>
        <w:rPr>
          <w:rFonts w:cs="Times New Roman" w:ascii="Times New Roman" w:hAnsi="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Сообщаем о себе следующее (для юридического лица):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Полное наименование организации и сведения об организационно – правовой форме: ________________________________________________________________________,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юридического лица: 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для почтовых отправлений: 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Телефон:_______________________________________________,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электронной почты: 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Учредители – полное наименование юридического лица и его организационно  - правовая форма: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___________________________/ИНН___________________________,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членов коллегиального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 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единоличного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_____________________________/ИНН__________________________,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Сообщаю о себе следующее (для физического лица, зарегистрированного в качестве индивидуального предпринимателя):</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1. Фамилия Имя Отчество (при наличии отчества) 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3. Сведения о месте жительства 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4. Номер контактного телефона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лиц, уполномоченных действовать от имени участника предварительного отбора: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____________________________________________.</w:t>
      </w:r>
    </w:p>
    <w:p>
      <w:pPr>
        <w:pStyle w:val="ListParagraph"/>
        <w:tabs>
          <w:tab w:val="clear" w:pos="708"/>
          <w:tab w:val="left" w:pos="284" w:leader="none"/>
        </w:tabs>
        <w:spacing w:lineRule="auto" w:line="240" w:before="0" w:after="120"/>
        <w:ind w:left="0"/>
        <w:contextualSpacing w:val="false"/>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12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Настоящим </w:t>
      </w:r>
      <w:r>
        <w:rPr>
          <w:rFonts w:cs="Times New Roman" w:ascii="Times New Roman" w:hAnsi="Times New Roman"/>
          <w:i/>
          <w:sz w:val="24"/>
          <w:szCs w:val="24"/>
          <w:u w:val="single"/>
        </w:rPr>
        <w:t xml:space="preserve">(указывается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Pr>
          <w:rFonts w:cs="Times New Roman" w:ascii="Times New Roman" w:hAnsi="Times New Roman"/>
          <w:sz w:val="24"/>
          <w:szCs w:val="24"/>
        </w:rPr>
        <w:t>подтверждает соответствие требованиям, установленным в Документации о проведении предварительного отбора.</w:t>
      </w:r>
    </w:p>
    <w:p>
      <w:pPr>
        <w:pStyle w:val="ListParagraph"/>
        <w:tabs>
          <w:tab w:val="clear" w:pos="708"/>
          <w:tab w:val="left" w:pos="284" w:leader="none"/>
          <w:tab w:val="left" w:pos="993" w:leader="none"/>
        </w:tabs>
        <w:spacing w:lineRule="auto" w:line="240" w:before="0" w:after="0"/>
        <w:ind w:left="85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Приложения: </w:t>
      </w:r>
      <w:r>
        <w:rPr>
          <w:rFonts w:cs="Times New Roman" w:ascii="Times New Roman" w:hAnsi="Times New Roman"/>
          <w:i/>
          <w:sz w:val="24"/>
          <w:szCs w:val="24"/>
          <w:u w:val="single"/>
        </w:rPr>
        <w:t xml:space="preserve">(указываются перечень прилагаемых документов, перечисленных в пункте 4 раздела </w:t>
      </w:r>
      <w:r>
        <w:rPr>
          <w:rFonts w:cs="Times New Roman" w:ascii="Times New Roman" w:hAnsi="Times New Roman"/>
          <w:i/>
          <w:sz w:val="24"/>
          <w:szCs w:val="24"/>
          <w:u w:val="single"/>
          <w:lang w:val="en-US"/>
        </w:rPr>
        <w:t>VI</w:t>
      </w:r>
      <w:r>
        <w:rPr>
          <w:rFonts w:cs="Times New Roman" w:ascii="Times New Roman" w:hAnsi="Times New Roman"/>
          <w:i/>
          <w:sz w:val="24"/>
          <w:szCs w:val="24"/>
          <w:u w:val="single"/>
        </w:rPr>
        <w:t xml:space="preserve">. Документации о проведении предварительного отбора). </w:t>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2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12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Style w:val="Style15"/>
          <w:rFonts w:ascii="Times New Roman" w:hAnsi="Times New Roman" w:cs="Times New Roman"/>
          <w:b/>
          <w:sz w:val="24"/>
          <w:szCs w:val="24"/>
        </w:rPr>
      </w:pPr>
      <w:r>
        <w:rPr>
          <w:rStyle w:val="Style15"/>
          <w:rFonts w:cs="Times New Roman" w:ascii="Times New Roman" w:hAnsi="Times New Roman"/>
          <w:b/>
          <w:sz w:val="24"/>
          <w:szCs w:val="24"/>
        </w:rPr>
        <w:t xml:space="preserve">ФОРМА ШТАТНО-СПИСОЧНОГО СОСТАВА СОТРУДНИКОВ </w:t>
      </w:r>
    </w:p>
    <w:p>
      <w:pPr>
        <w:pStyle w:val="Normal"/>
        <w:spacing w:before="0" w:after="12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overflowPunct w:val="true"/>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Участник предварительного отбора подрядных организаций:</w:t>
      </w: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i/>
          <w:sz w:val="20"/>
          <w:szCs w:val="20"/>
          <w:u w:val="single"/>
          <w:lang w:eastAsia="ru-RU"/>
        </w:rPr>
        <w:t>(указывается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w:t>
      </w:r>
      <w:r>
        <w:rPr>
          <w:rFonts w:eastAsia="Times New Roman" w:cs="Times New Roman" w:ascii="Times New Roman" w:hAnsi="Times New Roman"/>
          <w:bCs/>
          <w:sz w:val="24"/>
          <w:szCs w:val="24"/>
          <w:u w:val="single"/>
          <w:lang w:eastAsia="ru-RU"/>
        </w:rPr>
        <w:t>.</w:t>
      </w:r>
    </w:p>
    <w:tbl>
      <w:tblPr>
        <w:tblW w:w="10206" w:type="dxa"/>
        <w:jc w:val="left"/>
        <w:tblInd w:w="-435" w:type="dxa"/>
        <w:tblLayout w:type="fixed"/>
        <w:tblCellMar>
          <w:top w:w="0" w:type="dxa"/>
          <w:left w:w="40" w:type="dxa"/>
          <w:bottom w:w="0" w:type="dxa"/>
          <w:right w:w="40" w:type="dxa"/>
        </w:tblCellMar>
        <w:tblLook w:firstRow="0" w:noVBand="0" w:lastRow="0" w:firstColumn="0" w:lastColumn="0" w:noHBand="0" w:val="0000"/>
      </w:tblPr>
      <w:tblGrid>
        <w:gridCol w:w="679"/>
        <w:gridCol w:w="2156"/>
        <w:gridCol w:w="1700"/>
        <w:gridCol w:w="1418"/>
        <w:gridCol w:w="1730"/>
        <w:gridCol w:w="2522"/>
      </w:tblGrid>
      <w:tr>
        <w:trPr/>
        <w:tc>
          <w:tcPr>
            <w:tcW w:w="679"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firstLine="43" w:left="-113"/>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156"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Фамилия, имя, отчест</w:t>
              <w:softHyphen/>
              <w:t>во работника</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Образование</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Должность</w:t>
            </w:r>
          </w:p>
        </w:tc>
        <w:tc>
          <w:tcPr>
            <w:tcW w:w="173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102"/>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Стаж работы в дан</w:t>
              <w:softHyphen/>
              <w:t>ной или аналогичной должности, лет</w:t>
            </w:r>
          </w:p>
        </w:tc>
        <w:tc>
          <w:tcPr>
            <w:tcW w:w="2522"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Сертификаты, лицензии, удостоверения по соответствующим допускам (при наличии)</w:t>
            </w:r>
          </w:p>
        </w:tc>
      </w:tr>
      <w:tr>
        <w:trPr/>
        <w:tc>
          <w:tcPr>
            <w:tcW w:w="679"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56"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9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73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522"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r>
      <w:tr>
        <w:trPr/>
        <w:tc>
          <w:tcPr>
            <w:tcW w:w="679"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182"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5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0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41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3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522"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bl>
    <w:p>
      <w:pPr>
        <w:pStyle w:val="Normal"/>
        <w:shd w:val="clear" w:color="auto" w:fill="FFFFFF"/>
        <w:ind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Примечание: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подрядных организаций в пункте «л» раздела </w:t>
      </w:r>
      <w:r>
        <w:rPr>
          <w:rFonts w:cs="Times New Roman" w:ascii="Times New Roman" w:hAnsi="Times New Roman"/>
          <w:i/>
          <w:sz w:val="24"/>
          <w:szCs w:val="24"/>
          <w:lang w:val="en-US"/>
        </w:rPr>
        <w:t>V</w:t>
      </w:r>
      <w:r>
        <w:rPr>
          <w:rFonts w:cs="Times New Roman" w:ascii="Times New Roman" w:hAnsi="Times New Roman"/>
          <w:i/>
          <w:sz w:val="24"/>
          <w:szCs w:val="24"/>
        </w:rPr>
        <w:t xml:space="preserve"> Документации о проведении предварительного отбора.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Табличная форма включает в себя следующие данные: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 п/п» указывается номер строки по порядку;</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«Фамилия, имя, отчество работника» указываются фамилия имя и отчество (при наличии отчества) сотрудника;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«Образование»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«Должность» указываются сведения о должности сотрудника, занимаемой в данной организации, соответствующие сведениям трудового договора;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(трудовых книжках, дипломах, трудовых договорах);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«Сертификаты, лицензии, удостоверения по соответствующим допускам (при наличии)» указываются сведения об имеющихся у сотрудника сертификатах, разрешениях и пр. документах.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3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t>Рекомендуемая форма запроса о разъяснении положений документации о проведении предварительного отбора</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Запрос о разъяснении положений</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документации о проведении предварительного отбора</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cs="Times New Roman" w:ascii="Times New Roman" w:hAnsi="Times New Roman"/>
          <w:color w:val="FFFFFF"/>
          <w:sz w:val="24"/>
          <w:szCs w:val="24"/>
        </w:rPr>
        <w:t>_</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sectPr>
      <w:type w:val="nextPage"/>
      <w:pgSz w:w="11906" w:h="16838"/>
      <w:pgMar w:left="1701" w:right="850" w:gutter="0" w:header="0" w:top="1134" w:footer="0" w:bottom="85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479"/>
        </w:tabs>
        <w:ind w:left="3970" w:hanging="851"/>
      </w:pPr>
      <w:rPr/>
    </w:lvl>
    <w:lvl w:ilvl="1">
      <w:start w:val="1"/>
      <w:numFmt w:val="decimal"/>
      <w:lvlText w:val="%1.%2."/>
      <w:lvlJc w:val="left"/>
      <w:pPr>
        <w:tabs>
          <w:tab w:val="num" w:pos="1135"/>
        </w:tabs>
        <w:ind w:left="1135" w:hanging="851"/>
      </w:pPr>
      <w:rPr>
        <w:b/>
      </w:rPr>
    </w:lvl>
    <w:lvl w:ilvl="2">
      <w:start w:val="1"/>
      <w:numFmt w:val="decimal"/>
      <w:lvlText w:val="%1.%2.%3."/>
      <w:lvlJc w:val="left"/>
      <w:pPr>
        <w:tabs>
          <w:tab w:val="num" w:pos="1561"/>
        </w:tabs>
        <w:ind w:left="1561" w:hanging="851"/>
      </w:pPr>
      <w:rPr>
        <w:b w:val="false"/>
      </w:rPr>
    </w:lvl>
    <w:lvl w:ilvl="3">
      <w:start w:val="1"/>
      <w:numFmt w:val="decimal"/>
      <w:lvlText w:val="%1.%2.%3.%4."/>
      <w:lvlJc w:val="left"/>
      <w:pPr>
        <w:tabs>
          <w:tab w:val="num" w:pos="851"/>
        </w:tabs>
        <w:ind w:left="851" w:hanging="851"/>
      </w:pPr>
      <w:rPr/>
    </w:lvl>
    <w:lvl w:ilvl="4">
      <w:start w:val="1"/>
      <w:numFmt w:val="decimal"/>
      <w:lvlText w:val="%1.%2.%3.%4.%5."/>
      <w:lvlJc w:val="left"/>
      <w:pPr>
        <w:tabs>
          <w:tab w:val="num" w:pos="1418"/>
        </w:tabs>
        <w:ind w:left="1418" w:hanging="1418"/>
      </w:pPr>
      <w:rPr/>
    </w:lvl>
    <w:lvl w:ilvl="5">
      <w:start w:val="1"/>
      <w:numFmt w:val="decimal"/>
      <w:lvlText w:val="%1.%2.%3.%4.%5.%6."/>
      <w:lvlJc w:val="left"/>
      <w:pPr>
        <w:tabs>
          <w:tab w:val="num" w:pos="895"/>
        </w:tabs>
        <w:ind w:left="751" w:hanging="936"/>
      </w:pPr>
      <w:rPr/>
    </w:lvl>
    <w:lvl w:ilvl="6">
      <w:start w:val="1"/>
      <w:numFmt w:val="decimal"/>
      <w:lvlText w:val="%1.%2.%3.%4.%5.%6.%7."/>
      <w:lvlJc w:val="left"/>
      <w:pPr>
        <w:tabs>
          <w:tab w:val="num" w:pos="1615"/>
        </w:tabs>
        <w:ind w:left="1255" w:hanging="1080"/>
      </w:pPr>
      <w:rPr/>
    </w:lvl>
    <w:lvl w:ilvl="7">
      <w:start w:val="1"/>
      <w:numFmt w:val="decimal"/>
      <w:lvlText w:val="%1.%2.%3.%4.%5.%6.%7.%8."/>
      <w:lvlJc w:val="left"/>
      <w:pPr>
        <w:tabs>
          <w:tab w:val="num" w:pos="1975"/>
        </w:tabs>
        <w:ind w:left="1759" w:hanging="1224"/>
      </w:pPr>
      <w:rPr/>
    </w:lvl>
    <w:lvl w:ilvl="8">
      <w:start w:val="1"/>
      <w:numFmt w:val="decimal"/>
      <w:lvlText w:val="%1.%2.%3.%4.%5.%6.%7.%8.%9."/>
      <w:lvlJc w:val="left"/>
      <w:pPr>
        <w:tabs>
          <w:tab w:val="num" w:pos="2695"/>
        </w:tabs>
        <w:ind w:left="2335" w:hanging="1440"/>
      </w:pPr>
      <w:rPr/>
    </w:lvl>
  </w:abstractNum>
  <w:abstractNum w:abstractNumId="2">
    <w:lvl w:ilvl="0">
      <w:start w:val="1"/>
      <w:numFmt w:val="decimal"/>
      <w:lvlText w:val="%1."/>
      <w:lvlJc w:val="left"/>
      <w:pPr>
        <w:tabs>
          <w:tab w:val="num" w:pos="0"/>
        </w:tabs>
        <w:ind w:left="3338" w:hanging="360"/>
      </w:pPr>
      <w:rPr/>
    </w:lvl>
    <w:lvl w:ilvl="1">
      <w:start w:val="1"/>
      <w:numFmt w:val="lowerLetter"/>
      <w:lvlText w:val="%2."/>
      <w:lvlJc w:val="left"/>
      <w:pPr>
        <w:tabs>
          <w:tab w:val="num" w:pos="0"/>
        </w:tabs>
        <w:ind w:left="4058" w:hanging="360"/>
      </w:pPr>
      <w:rPr/>
    </w:lvl>
    <w:lvl w:ilvl="2">
      <w:start w:val="1"/>
      <w:numFmt w:val="lowerRoman"/>
      <w:lvlText w:val="%3."/>
      <w:lvlJc w:val="right"/>
      <w:pPr>
        <w:tabs>
          <w:tab w:val="num" w:pos="0"/>
        </w:tabs>
        <w:ind w:left="4778" w:hanging="180"/>
      </w:pPr>
      <w:rPr/>
    </w:lvl>
    <w:lvl w:ilvl="3">
      <w:start w:val="1"/>
      <w:numFmt w:val="decimal"/>
      <w:lvlText w:val="%4."/>
      <w:lvlJc w:val="left"/>
      <w:pPr>
        <w:tabs>
          <w:tab w:val="num" w:pos="0"/>
        </w:tabs>
        <w:ind w:left="5498" w:hanging="360"/>
      </w:pPr>
      <w:rPr/>
    </w:lvl>
    <w:lvl w:ilvl="4">
      <w:start w:val="1"/>
      <w:numFmt w:val="lowerLetter"/>
      <w:lvlText w:val="%5."/>
      <w:lvlJc w:val="left"/>
      <w:pPr>
        <w:tabs>
          <w:tab w:val="num" w:pos="0"/>
        </w:tabs>
        <w:ind w:left="6218" w:hanging="360"/>
      </w:pPr>
      <w:rPr/>
    </w:lvl>
    <w:lvl w:ilvl="5">
      <w:start w:val="1"/>
      <w:numFmt w:val="lowerRoman"/>
      <w:lvlText w:val="%6."/>
      <w:lvlJc w:val="right"/>
      <w:pPr>
        <w:tabs>
          <w:tab w:val="num" w:pos="0"/>
        </w:tabs>
        <w:ind w:left="6938" w:hanging="180"/>
      </w:pPr>
      <w:rPr/>
    </w:lvl>
    <w:lvl w:ilvl="6">
      <w:start w:val="1"/>
      <w:numFmt w:val="decimal"/>
      <w:lvlText w:val="%7."/>
      <w:lvlJc w:val="left"/>
      <w:pPr>
        <w:tabs>
          <w:tab w:val="num" w:pos="0"/>
        </w:tabs>
        <w:ind w:left="7658" w:hanging="360"/>
      </w:pPr>
      <w:rPr/>
    </w:lvl>
    <w:lvl w:ilvl="7">
      <w:start w:val="1"/>
      <w:numFmt w:val="lowerLetter"/>
      <w:lvlText w:val="%8."/>
      <w:lvlJc w:val="left"/>
      <w:pPr>
        <w:tabs>
          <w:tab w:val="num" w:pos="0"/>
        </w:tabs>
        <w:ind w:left="8378" w:hanging="360"/>
      </w:pPr>
      <w:rPr/>
    </w:lvl>
    <w:lvl w:ilvl="8">
      <w:start w:val="1"/>
      <w:numFmt w:val="lowerRoman"/>
      <w:lvlText w:val="%9."/>
      <w:lvlJc w:val="right"/>
      <w:pPr>
        <w:tabs>
          <w:tab w:val="num" w:pos="0"/>
        </w:tabs>
        <w:ind w:left="9098" w:hanging="180"/>
      </w:pPr>
      <w:rPr/>
    </w:lvl>
  </w:abstractNum>
  <w:abstractNum w:abstractNumId="3">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5">
    <w:lvl w:ilvl="0">
      <w:start w:val="1"/>
      <w:numFmt w:val="decimal"/>
      <w:lvlText w:val="%1."/>
      <w:lvlJc w:val="left"/>
      <w:pPr>
        <w:tabs>
          <w:tab w:val="num" w:pos="0"/>
        </w:tabs>
        <w:ind w:left="5464" w:hanging="360"/>
      </w:pPr>
      <w:rPr/>
    </w:lvl>
    <w:lvl w:ilvl="1">
      <w:start w:val="1"/>
      <w:numFmt w:val="lowerLetter"/>
      <w:lvlText w:val="%2."/>
      <w:lvlJc w:val="left"/>
      <w:pPr>
        <w:tabs>
          <w:tab w:val="num" w:pos="0"/>
        </w:tabs>
        <w:ind w:left="6042" w:hanging="360"/>
      </w:pPr>
      <w:rPr/>
    </w:lvl>
    <w:lvl w:ilvl="2">
      <w:start w:val="1"/>
      <w:numFmt w:val="lowerRoman"/>
      <w:lvlText w:val="%3."/>
      <w:lvlJc w:val="right"/>
      <w:pPr>
        <w:tabs>
          <w:tab w:val="num" w:pos="0"/>
        </w:tabs>
        <w:ind w:left="6762" w:hanging="180"/>
      </w:pPr>
      <w:rPr/>
    </w:lvl>
    <w:lvl w:ilvl="3">
      <w:start w:val="1"/>
      <w:numFmt w:val="decimal"/>
      <w:lvlText w:val="%4."/>
      <w:lvlJc w:val="left"/>
      <w:pPr>
        <w:tabs>
          <w:tab w:val="num" w:pos="0"/>
        </w:tabs>
        <w:ind w:left="7482" w:hanging="360"/>
      </w:pPr>
      <w:rPr/>
    </w:lvl>
    <w:lvl w:ilvl="4">
      <w:start w:val="1"/>
      <w:numFmt w:val="lowerLetter"/>
      <w:lvlText w:val="%5."/>
      <w:lvlJc w:val="left"/>
      <w:pPr>
        <w:tabs>
          <w:tab w:val="num" w:pos="0"/>
        </w:tabs>
        <w:ind w:left="8202" w:hanging="360"/>
      </w:pPr>
      <w:rPr/>
    </w:lvl>
    <w:lvl w:ilvl="5">
      <w:start w:val="1"/>
      <w:numFmt w:val="lowerRoman"/>
      <w:lvlText w:val="%6."/>
      <w:lvlJc w:val="right"/>
      <w:pPr>
        <w:tabs>
          <w:tab w:val="num" w:pos="0"/>
        </w:tabs>
        <w:ind w:left="8922" w:hanging="180"/>
      </w:pPr>
      <w:rPr/>
    </w:lvl>
    <w:lvl w:ilvl="6">
      <w:start w:val="1"/>
      <w:numFmt w:val="decimal"/>
      <w:lvlText w:val="%7."/>
      <w:lvlJc w:val="left"/>
      <w:pPr>
        <w:tabs>
          <w:tab w:val="num" w:pos="0"/>
        </w:tabs>
        <w:ind w:left="9642" w:hanging="360"/>
      </w:pPr>
      <w:rPr/>
    </w:lvl>
    <w:lvl w:ilvl="7">
      <w:start w:val="1"/>
      <w:numFmt w:val="lowerLetter"/>
      <w:lvlText w:val="%8."/>
      <w:lvlJc w:val="left"/>
      <w:pPr>
        <w:tabs>
          <w:tab w:val="num" w:pos="0"/>
        </w:tabs>
        <w:ind w:left="10362" w:hanging="360"/>
      </w:pPr>
      <w:rPr/>
    </w:lvl>
    <w:lvl w:ilvl="8">
      <w:start w:val="1"/>
      <w:numFmt w:val="lowerRoman"/>
      <w:lvlText w:val="%9."/>
      <w:lvlJc w:val="right"/>
      <w:pPr>
        <w:tabs>
          <w:tab w:val="num" w:pos="0"/>
        </w:tabs>
        <w:ind w:left="11082" w:hanging="180"/>
      </w:pPr>
      <w:rPr/>
    </w:lvl>
  </w:abstractNum>
  <w:abstractNum w:abstractNumId="6">
    <w:lvl w:ilvl="0">
      <w:start w:val="1"/>
      <w:numFmt w:val="decimal"/>
      <w:lvlText w:val="%1."/>
      <w:lvlJc w:val="left"/>
      <w:pPr>
        <w:tabs>
          <w:tab w:val="num" w:pos="0"/>
        </w:tabs>
        <w:ind w:left="3192" w:hanging="360"/>
      </w:pPr>
      <w:rPr/>
    </w:lvl>
    <w:lvl w:ilvl="1">
      <w:start w:val="1"/>
      <w:numFmt w:val="decimal"/>
      <w:lvlText w:val="%1.%2."/>
      <w:lvlJc w:val="left"/>
      <w:pPr>
        <w:tabs>
          <w:tab w:val="num" w:pos="0"/>
        </w:tabs>
        <w:ind w:left="3624" w:hanging="432"/>
      </w:pPr>
      <w:rPr/>
    </w:lvl>
    <w:lvl w:ilvl="2">
      <w:start w:val="1"/>
      <w:numFmt w:val="decimal"/>
      <w:lvlText w:val="%1.%2.%3."/>
      <w:lvlJc w:val="left"/>
      <w:pPr>
        <w:tabs>
          <w:tab w:val="num" w:pos="0"/>
        </w:tabs>
        <w:ind w:left="4056" w:hanging="504"/>
      </w:pPr>
      <w:rPr/>
    </w:lvl>
    <w:lvl w:ilvl="3">
      <w:start w:val="1"/>
      <w:numFmt w:val="decimal"/>
      <w:lvlText w:val="%1.%2.%3.%4."/>
      <w:lvlJc w:val="left"/>
      <w:pPr>
        <w:tabs>
          <w:tab w:val="num" w:pos="0"/>
        </w:tabs>
        <w:ind w:left="4560" w:hanging="648"/>
      </w:pPr>
      <w:rPr/>
    </w:lvl>
    <w:lvl w:ilvl="4">
      <w:start w:val="1"/>
      <w:numFmt w:val="decimal"/>
      <w:lvlText w:val="%1.%2.%3.%4.%5."/>
      <w:lvlJc w:val="left"/>
      <w:pPr>
        <w:tabs>
          <w:tab w:val="num" w:pos="0"/>
        </w:tabs>
        <w:ind w:left="5064" w:hanging="792"/>
      </w:pPr>
      <w:rPr/>
    </w:lvl>
    <w:lvl w:ilvl="5">
      <w:start w:val="1"/>
      <w:numFmt w:val="decimal"/>
      <w:lvlText w:val="%1.%2.%3.%4.%5.%6."/>
      <w:lvlJc w:val="left"/>
      <w:pPr>
        <w:tabs>
          <w:tab w:val="num" w:pos="0"/>
        </w:tabs>
        <w:ind w:left="5568" w:hanging="936"/>
      </w:pPr>
      <w:rPr/>
    </w:lvl>
    <w:lvl w:ilvl="6">
      <w:start w:val="1"/>
      <w:numFmt w:val="decimal"/>
      <w:lvlText w:val="%1.%2.%3.%4.%5.%6.%7."/>
      <w:lvlJc w:val="left"/>
      <w:pPr>
        <w:tabs>
          <w:tab w:val="num" w:pos="0"/>
        </w:tabs>
        <w:ind w:left="6072" w:hanging="1080"/>
      </w:pPr>
      <w:rPr/>
    </w:lvl>
    <w:lvl w:ilvl="7">
      <w:start w:val="1"/>
      <w:numFmt w:val="decimal"/>
      <w:lvlText w:val="%1.%2.%3.%4.%5.%6.%7.%8."/>
      <w:lvlJc w:val="left"/>
      <w:pPr>
        <w:tabs>
          <w:tab w:val="num" w:pos="0"/>
        </w:tabs>
        <w:ind w:left="6576" w:hanging="1224"/>
      </w:pPr>
      <w:rPr/>
    </w:lvl>
    <w:lvl w:ilvl="8">
      <w:start w:val="1"/>
      <w:numFmt w:val="decimal"/>
      <w:lvlText w:val="%1.%2.%3.%4.%5.%6.%7.%8.%9."/>
      <w:lvlJc w:val="left"/>
      <w:pPr>
        <w:tabs>
          <w:tab w:val="num" w:pos="0"/>
        </w:tabs>
        <w:ind w:left="7152" w:hanging="1440"/>
      </w:pPr>
      <w:rPr/>
    </w:lvl>
  </w:abstractNum>
  <w:abstractNum w:abstractNumId="7">
    <w:lvl w:ilvl="0">
      <w:start w:val="1"/>
      <w:numFmt w:val="upperRoman"/>
      <w:lvlText w:val="%1."/>
      <w:lvlJc w:val="left"/>
      <w:pPr>
        <w:tabs>
          <w:tab w:val="num" w:pos="0"/>
        </w:tabs>
        <w:ind w:left="1080"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7661"/>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
    <w:qFormat/>
    <w:rsid w:val="00905414"/>
    <w:pPr>
      <w:keepNext w:val="true"/>
      <w:keepLines/>
      <w:numPr>
        <w:ilvl w:val="0"/>
        <w:numId w:val="1"/>
      </w:numPr>
      <w:spacing w:lineRule="auto" w:line="240" w:before="240" w:after="120"/>
      <w:jc w:val="both"/>
      <w:outlineLvl w:val="0"/>
    </w:pPr>
    <w:rPr>
      <w:rFonts w:ascii="Arial" w:hAnsi="Arial" w:eastAsia="Times New Roman" w:cs="Arial"/>
      <w:b/>
      <w:bCs/>
      <w:kern w:val="2"/>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905414"/>
    <w:rPr>
      <w:rFonts w:ascii="Arial" w:hAnsi="Arial" w:eastAsia="Times New Roman" w:cs="Arial"/>
      <w:b/>
      <w:bCs/>
      <w:kern w:val="2"/>
      <w:lang w:eastAsia="ru-RU"/>
    </w:rPr>
  </w:style>
  <w:style w:type="character" w:styleId="InternetLink">
    <w:name w:val="Internet Link"/>
    <w:uiPriority w:val="99"/>
    <w:unhideWhenUsed/>
    <w:qFormat/>
    <w:rsid w:val="00905414"/>
    <w:rPr>
      <w:rFonts w:ascii="Arial" w:hAnsi="Arial"/>
      <w:color w:val="0000FF"/>
      <w:u w:val="single"/>
    </w:rPr>
  </w:style>
  <w:style w:type="character" w:styleId="Style13" w:customStyle="1">
    <w:name w:val="Основной текст Знак"/>
    <w:basedOn w:val="DefaultParagraphFont"/>
    <w:qFormat/>
    <w:rsid w:val="00905414"/>
    <w:rPr>
      <w:rFonts w:ascii="Arial" w:hAnsi="Arial" w:eastAsia="Times New Roman" w:cs="Times New Roman"/>
      <w:szCs w:val="24"/>
      <w:lang w:eastAsia="ru-RU"/>
    </w:rPr>
  </w:style>
  <w:style w:type="character" w:styleId="Style14" w:customStyle="1">
    <w:name w:val="Нумерованный текст Знак"/>
    <w:link w:val="Style25"/>
    <w:qFormat/>
    <w:rsid w:val="00905414"/>
    <w:rPr>
      <w:rFonts w:ascii="Arial" w:hAnsi="Arial" w:eastAsia="Times New Roman" w:cs="Arial"/>
      <w:lang w:eastAsia="ru-RU"/>
    </w:rPr>
  </w:style>
  <w:style w:type="character" w:styleId="-4" w:customStyle="1">
    <w:name w:val="Пункт-4 Знак"/>
    <w:link w:val="-41"/>
    <w:qFormat/>
    <w:locked/>
    <w:rsid w:val="00905414"/>
    <w:rPr>
      <w:rFonts w:ascii="Times New Roman" w:hAnsi="Times New Roman" w:eastAsia="Times New Roman" w:cs="Times New Roman"/>
      <w:lang w:eastAsia="ru-RU"/>
    </w:rPr>
  </w:style>
  <w:style w:type="character" w:styleId="apple-converted-space" w:customStyle="1">
    <w:name w:val="apple-converted-space"/>
    <w:basedOn w:val="DefaultParagraphFont"/>
    <w:qFormat/>
    <w:rsid w:val="00905414"/>
    <w:rPr/>
  </w:style>
  <w:style w:type="character" w:styleId="Style15" w:customStyle="1">
    <w:name w:val="Цветовое выделение для Нормальный"/>
    <w:basedOn w:val="DefaultParagraphFont"/>
    <w:uiPriority w:val="99"/>
    <w:qFormat/>
    <w:rsid w:val="00905414"/>
    <w:rPr>
      <w:sz w:val="20"/>
      <w:szCs w:val="20"/>
    </w:rPr>
  </w:style>
  <w:style w:type="character" w:styleId="Style16" w:customStyle="1">
    <w:name w:val="Текст выноски Знак"/>
    <w:basedOn w:val="DefaultParagraphFont"/>
    <w:link w:val="BalloonText"/>
    <w:uiPriority w:val="99"/>
    <w:semiHidden/>
    <w:qFormat/>
    <w:rsid w:val="00290990"/>
    <w:rPr>
      <w:rFonts w:ascii="Segoe UI" w:hAnsi="Segoe UI" w:cs="Segoe UI"/>
      <w:sz w:val="18"/>
      <w:szCs w:val="18"/>
    </w:rPr>
  </w:style>
  <w:style w:type="character" w:styleId="Style17" w:customStyle="1">
    <w:name w:val="Текст сноски Знак"/>
    <w:basedOn w:val="DefaultParagraphFont"/>
    <w:uiPriority w:val="99"/>
    <w:semiHidden/>
    <w:qFormat/>
    <w:rsid w:val="009e4821"/>
    <w:rPr>
      <w:sz w:val="20"/>
      <w:szCs w:val="20"/>
    </w:rPr>
  </w:style>
  <w:style w:type="character" w:styleId="FootnoteReference">
    <w:name w:val="Footnote Reference"/>
    <w:rPr>
      <w:vertAlign w:val="superscript"/>
    </w:rPr>
  </w:style>
  <w:style w:type="character" w:styleId="FootnoteCharacters">
    <w:name w:val="Footnote Characters"/>
    <w:basedOn w:val="DefaultParagraphFont"/>
    <w:uiPriority w:val="99"/>
    <w:semiHidden/>
    <w:unhideWhenUsed/>
    <w:qFormat/>
    <w:rsid w:val="009e4821"/>
    <w:rPr>
      <w:vertAlign w:val="superscript"/>
    </w:rPr>
  </w:style>
  <w:style w:type="character" w:styleId="Style18" w:customStyle="1">
    <w:name w:val="Текст концевой сноски Знак"/>
    <w:basedOn w:val="DefaultParagraphFont"/>
    <w:uiPriority w:val="99"/>
    <w:semiHidden/>
    <w:qFormat/>
    <w:rsid w:val="00e94a4f"/>
    <w:rPr>
      <w:sz w:val="20"/>
      <w:szCs w:val="20"/>
    </w:rPr>
  </w:style>
  <w:style w:type="character" w:styleId="EndnoteReference">
    <w:name w:val="Endnote Reference"/>
    <w:rPr>
      <w:vertAlign w:val="superscript"/>
    </w:rPr>
  </w:style>
  <w:style w:type="character" w:styleId="EndnoteCharacters">
    <w:name w:val="Endnote Characters"/>
    <w:basedOn w:val="DefaultParagraphFont"/>
    <w:uiPriority w:val="99"/>
    <w:semiHidden/>
    <w:unhideWhenUsed/>
    <w:qFormat/>
    <w:rsid w:val="00e94a4f"/>
    <w:rPr>
      <w:vertAlign w:val="superscript"/>
    </w:rPr>
  </w:style>
  <w:style w:type="character" w:styleId="annotationreference">
    <w:name w:val="annotation reference"/>
    <w:basedOn w:val="DefaultParagraphFont"/>
    <w:uiPriority w:val="99"/>
    <w:semiHidden/>
    <w:unhideWhenUsed/>
    <w:qFormat/>
    <w:rsid w:val="00b60540"/>
    <w:rPr>
      <w:sz w:val="16"/>
      <w:szCs w:val="16"/>
    </w:rPr>
  </w:style>
  <w:style w:type="character" w:styleId="Style19" w:customStyle="1">
    <w:name w:val="Текст примечания Знак"/>
    <w:basedOn w:val="DefaultParagraphFont"/>
    <w:uiPriority w:val="99"/>
    <w:semiHidden/>
    <w:qFormat/>
    <w:rsid w:val="00b60540"/>
    <w:rPr>
      <w:sz w:val="20"/>
      <w:szCs w:val="20"/>
    </w:rPr>
  </w:style>
  <w:style w:type="character" w:styleId="Style20" w:customStyle="1">
    <w:name w:val="Тема примечания Знак"/>
    <w:basedOn w:val="Style19"/>
    <w:link w:val="annotationsubject"/>
    <w:uiPriority w:val="99"/>
    <w:semiHidden/>
    <w:qFormat/>
    <w:rsid w:val="00b60540"/>
    <w:rPr>
      <w:b/>
      <w:bCs/>
      <w:sz w:val="20"/>
      <w:szCs w:val="20"/>
    </w:rPr>
  </w:style>
  <w:style w:type="character" w:styleId="Style21" w:customStyle="1">
    <w:name w:val="Абзац списка Знак"/>
    <w:link w:val="ListParagraph"/>
    <w:uiPriority w:val="99"/>
    <w:qFormat/>
    <w:locked/>
    <w:rsid w:val="006a27f0"/>
    <w:rPr/>
  </w:style>
  <w:style w:type="character" w:styleId="ConsPlusNormal" w:customStyle="1">
    <w:name w:val="ConsPlusNormal Знак"/>
    <w:basedOn w:val="DefaultParagraphFont"/>
    <w:link w:val="ConsPlusNormal1"/>
    <w:qFormat/>
    <w:locked/>
    <w:rsid w:val="006a27f0"/>
    <w:rPr>
      <w:rFonts w:ascii="Arial" w:hAnsi="Arial" w:eastAsia="" w:cs="Arial" w:eastAsiaTheme="minorEastAsia"/>
      <w:sz w:val="20"/>
      <w:szCs w:val="20"/>
      <w:lang w:eastAsia="ru-RU"/>
    </w:rPr>
  </w:style>
  <w:style w:type="character" w:styleId="Style22" w:customStyle="1">
    <w:name w:val="Гипертекстовая ссылка"/>
    <w:basedOn w:val="DefaultParagraphFont"/>
    <w:uiPriority w:val="99"/>
    <w:qFormat/>
    <w:rsid w:val="00422350"/>
    <w:rPr>
      <w:rFonts w:cs="Times New Roman"/>
      <w:b w:val="false"/>
      <w:color w:val="106BBE"/>
    </w:rPr>
  </w:style>
  <w:style w:type="character" w:styleId="FollowedHyperlink">
    <w:name w:val="FollowedHyperlink"/>
    <w:basedOn w:val="DefaultParagraphFont"/>
    <w:uiPriority w:val="99"/>
    <w:semiHidden/>
    <w:unhideWhenUsed/>
    <w:rsid w:val="002c0023"/>
    <w:rPr>
      <w:color w:themeColor="followedHyperlink" w:val="954F72"/>
      <w:u w:val="single"/>
    </w:rPr>
  </w:style>
  <w:style w:type="character" w:styleId="Hyperlink">
    <w:name w:val="Hyperlink"/>
    <w:rPr>
      <w:color w:val="000080"/>
      <w:u w:val="single"/>
    </w:rPr>
  </w:style>
  <w:style w:type="paragraph" w:styleId="Style2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3"/>
    <w:unhideWhenUsed/>
    <w:rsid w:val="00905414"/>
    <w:pPr>
      <w:spacing w:lineRule="auto" w:line="240" w:before="120" w:after="120"/>
      <w:jc w:val="both"/>
    </w:pPr>
    <w:rPr>
      <w:rFonts w:ascii="Arial" w:hAnsi="Arial" w:eastAsia="Times New Roman" w:cs="Times New Roman"/>
      <w:szCs w:val="24"/>
      <w:lang w:eastAsia="ru-RU"/>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4">
    <w:name w:val="Указатель"/>
    <w:basedOn w:val="Normal"/>
    <w:qFormat/>
    <w:pPr>
      <w:suppressLineNumbers/>
    </w:pPr>
    <w:rPr>
      <w:rFonts w:cs="Arial"/>
    </w:rPr>
  </w:style>
  <w:style w:type="paragraph" w:styleId="ListParagraph">
    <w:name w:val="List Paragraph"/>
    <w:basedOn w:val="Normal"/>
    <w:link w:val="Style21"/>
    <w:uiPriority w:val="99"/>
    <w:qFormat/>
    <w:rsid w:val="00905414"/>
    <w:pPr>
      <w:spacing w:before="0" w:after="160"/>
      <w:ind w:left="720"/>
      <w:contextualSpacing/>
    </w:pPr>
    <w:rPr/>
  </w:style>
  <w:style w:type="paragraph" w:styleId="Style25" w:customStyle="1">
    <w:name w:val="Нумерованный текст"/>
    <w:basedOn w:val="Normal"/>
    <w:link w:val="Style14"/>
    <w:qFormat/>
    <w:rsid w:val="00905414"/>
    <w:pPr>
      <w:numPr>
        <w:ilvl w:val="1"/>
        <w:numId w:val="1"/>
      </w:numPr>
      <w:spacing w:lineRule="auto" w:line="240" w:before="120" w:after="0"/>
      <w:jc w:val="both"/>
      <w:outlineLvl w:val="1"/>
    </w:pPr>
    <w:rPr>
      <w:rFonts w:ascii="Arial" w:hAnsi="Arial" w:eastAsia="Times New Roman" w:cs="Arial"/>
      <w:lang w:eastAsia="ru-RU"/>
    </w:rPr>
  </w:style>
  <w:style w:type="paragraph" w:styleId="-41" w:customStyle="1">
    <w:name w:val="Пункт-4"/>
    <w:basedOn w:val="Normal"/>
    <w:link w:val="-4"/>
    <w:autoRedefine/>
    <w:qFormat/>
    <w:rsid w:val="00905414"/>
    <w:pPr>
      <w:numPr>
        <w:ilvl w:val="2"/>
        <w:numId w:val="1"/>
      </w:numPr>
      <w:spacing w:lineRule="auto" w:line="240" w:before="0" w:after="0"/>
      <w:jc w:val="both"/>
    </w:pPr>
    <w:rPr>
      <w:rFonts w:ascii="Times New Roman" w:hAnsi="Times New Roman" w:eastAsia="Times New Roman" w:cs="Times New Roman"/>
      <w:lang w:eastAsia="ru-RU"/>
    </w:rPr>
  </w:style>
  <w:style w:type="paragraph" w:styleId="ConsPlusNormal1" w:customStyle="1">
    <w:name w:val="ConsPlusNormal"/>
    <w:link w:val="ConsPlusNormal"/>
    <w:qFormat/>
    <w:rsid w:val="006b47cc"/>
    <w:pPr>
      <w:widowControl w:val="false"/>
      <w:bidi w:val="0"/>
      <w:spacing w:lineRule="auto" w:line="240" w:before="0" w:after="0"/>
      <w:jc w:val="left"/>
    </w:pPr>
    <w:rPr>
      <w:rFonts w:ascii="Arial" w:hAnsi="Arial" w:eastAsia="" w:cs="Arial" w:eastAsiaTheme="minorEastAsia"/>
      <w:color w:val="auto"/>
      <w:kern w:val="0"/>
      <w:sz w:val="20"/>
      <w:szCs w:val="20"/>
      <w:lang w:eastAsia="ru-RU" w:val="ru-RU" w:bidi="ar-SA"/>
    </w:rPr>
  </w:style>
  <w:style w:type="paragraph" w:styleId="BalloonText">
    <w:name w:val="Balloon Text"/>
    <w:basedOn w:val="Normal"/>
    <w:link w:val="Style16"/>
    <w:uiPriority w:val="99"/>
    <w:semiHidden/>
    <w:unhideWhenUsed/>
    <w:qFormat/>
    <w:rsid w:val="00290990"/>
    <w:pPr>
      <w:spacing w:lineRule="auto" w:line="240" w:before="0" w:after="0"/>
    </w:pPr>
    <w:rPr>
      <w:rFonts w:ascii="Segoe UI" w:hAnsi="Segoe UI" w:cs="Segoe UI"/>
      <w:sz w:val="18"/>
      <w:szCs w:val="18"/>
    </w:rPr>
  </w:style>
  <w:style w:type="paragraph" w:styleId="FootnoteText">
    <w:name w:val="Footnote Text"/>
    <w:basedOn w:val="Normal"/>
    <w:link w:val="Style17"/>
    <w:uiPriority w:val="99"/>
    <w:semiHidden/>
    <w:unhideWhenUsed/>
    <w:rsid w:val="009e4821"/>
    <w:pPr>
      <w:spacing w:lineRule="auto" w:line="240" w:before="0" w:after="0"/>
      <w:ind w:firstLine="584"/>
      <w:jc w:val="both"/>
    </w:pPr>
    <w:rPr>
      <w:sz w:val="20"/>
      <w:szCs w:val="20"/>
    </w:rPr>
  </w:style>
  <w:style w:type="paragraph" w:styleId="EndnoteText">
    <w:name w:val="Endnote Text"/>
    <w:basedOn w:val="Normal"/>
    <w:link w:val="Style18"/>
    <w:uiPriority w:val="99"/>
    <w:semiHidden/>
    <w:unhideWhenUsed/>
    <w:rsid w:val="00e94a4f"/>
    <w:pPr>
      <w:spacing w:lineRule="auto" w:line="240" w:before="0" w:after="0"/>
    </w:pPr>
    <w:rPr>
      <w:sz w:val="20"/>
      <w:szCs w:val="20"/>
    </w:rPr>
  </w:style>
  <w:style w:type="paragraph" w:styleId="AnnotationText">
    <w:name w:val="Annotation Text"/>
    <w:basedOn w:val="Normal"/>
    <w:link w:val="Style19"/>
    <w:uiPriority w:val="99"/>
    <w:semiHidden/>
    <w:unhideWhenUsed/>
    <w:rsid w:val="00b60540"/>
    <w:pPr>
      <w:spacing w:lineRule="auto" w:line="240"/>
    </w:pPr>
    <w:rPr>
      <w:sz w:val="20"/>
      <w:szCs w:val="20"/>
    </w:rPr>
  </w:style>
  <w:style w:type="paragraph" w:styleId="annotationsubject">
    <w:name w:val="annotation subject"/>
    <w:basedOn w:val="AnnotationText"/>
    <w:next w:val="AnnotationText"/>
    <w:link w:val="Style20"/>
    <w:uiPriority w:val="99"/>
    <w:semiHidden/>
    <w:unhideWhenUsed/>
    <w:qFormat/>
    <w:rsid w:val="00b60540"/>
    <w:pPr/>
    <w:rPr>
      <w:b/>
      <w:bCs/>
    </w:rPr>
  </w:style>
  <w:style w:type="numbering" w:styleId="Style26" w:default="1">
    <w:name w:val="Без списка"/>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b">
    <w:name w:val="Table Grid"/>
    <w:basedOn w:val="a2"/>
    <w:uiPriority w:val="39"/>
    <w:rsid w:val="002909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kaprem37.ru/" TargetMode="External"/><Relationship Id="rId3" Type="http://schemas.openxmlformats.org/officeDocument/2006/relationships/hyperlink" Target="http://kaprem37.ru/"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38D50-EF7B-4CE8-8362-071715C4C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2053</TotalTime>
  <Application>LibreOffice/24.2.4.2$Windows_X86_64 LibreOffice_project/51a6219feb6075d9a4c46691dcfe0cd9c4fff3c2</Application>
  <AppVersion>15.0000</AppVersion>
  <Pages>22</Pages>
  <Words>5890</Words>
  <Characters>43334</Characters>
  <CharactersWithSpaces>48995</CharactersWithSpaces>
  <Paragraphs>323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2017-12-01T11:56:00Z</dcterms:created>
  <dc:creator>Василий</dc:creator>
  <dc:description/>
  <dc:language>ru-RU</dc:language>
  <cp:lastModifiedBy/>
  <cp:lastPrinted>2019-10-03T10:22:00Z</cp:lastPrinted>
  <dcterms:modified xsi:type="dcterms:W3CDTF">2026-05-21T13:50:55Z</dcterms:modified>
  <cp:revision>94</cp:revision>
  <dc:subject/>
  <dc:title/>
</cp:coreProperties>
</file>

<file path=docProps/custom.xml><?xml version="1.0" encoding="utf-8"?>
<Properties xmlns="http://schemas.openxmlformats.org/officeDocument/2006/custom-properties" xmlns:vt="http://schemas.openxmlformats.org/officeDocument/2006/docPropsVTypes"/>
</file>